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C40B5B" w:rsidRDefault="007766DD" w:rsidP="00EB38E6">
      <w:pPr>
        <w:jc w:val="center"/>
      </w:pPr>
      <w:bookmarkStart w:id="0" w:name="_GoBack"/>
      <w:bookmarkEnd w:id="0"/>
      <w:r w:rsidRPr="00C40B5B">
        <w:rPr>
          <w:noProof/>
          <w:lang w:val="en-US"/>
        </w:rPr>
        <w:drawing>
          <wp:inline distT="0" distB="0" distL="0" distR="0" wp14:anchorId="54EA1F97" wp14:editId="34CAC197">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C40B5B" w:rsidRDefault="00DC1ED1" w:rsidP="00DC1ED1">
      <w:pPr>
        <w:autoSpaceDE w:val="0"/>
        <w:ind w:left="720" w:firstLine="720"/>
        <w:jc w:val="right"/>
        <w:rPr>
          <w:b/>
          <w:bCs/>
        </w:rPr>
      </w:pPr>
      <w:r w:rsidRPr="00C40B5B">
        <w:rPr>
          <w:b/>
          <w:bCs/>
        </w:rPr>
        <w:t xml:space="preserve">  </w:t>
      </w:r>
    </w:p>
    <w:p w:rsidR="000F7E70" w:rsidRPr="00C40B5B" w:rsidRDefault="000F7E70" w:rsidP="00EB38E6">
      <w:pPr>
        <w:autoSpaceDE w:val="0"/>
        <w:ind w:hanging="11"/>
        <w:jc w:val="center"/>
        <w:rPr>
          <w:b/>
          <w:bCs/>
        </w:rPr>
      </w:pPr>
      <w:r w:rsidRPr="00C40B5B">
        <w:rPr>
          <w:b/>
          <w:bCs/>
        </w:rPr>
        <w:t>OPINION</w:t>
      </w:r>
    </w:p>
    <w:p w:rsidR="00E90CFE" w:rsidRPr="00C40B5B" w:rsidRDefault="00371F95" w:rsidP="000F7E70">
      <w:pPr>
        <w:autoSpaceDE w:val="0"/>
        <w:jc w:val="both"/>
        <w:rPr>
          <w:b/>
          <w:bCs/>
        </w:rPr>
      </w:pPr>
      <w:r w:rsidRPr="00C40B5B">
        <w:rPr>
          <w:b/>
          <w:bCs/>
        </w:rPr>
        <w:tab/>
      </w:r>
      <w:r w:rsidRPr="00C40B5B">
        <w:rPr>
          <w:b/>
          <w:bCs/>
        </w:rPr>
        <w:tab/>
      </w:r>
      <w:r w:rsidRPr="00C40B5B">
        <w:rPr>
          <w:b/>
          <w:bCs/>
        </w:rPr>
        <w:tab/>
      </w:r>
      <w:r w:rsidRPr="00C40B5B">
        <w:rPr>
          <w:b/>
          <w:bCs/>
        </w:rPr>
        <w:tab/>
      </w:r>
      <w:r w:rsidRPr="00C40B5B">
        <w:rPr>
          <w:b/>
          <w:bCs/>
        </w:rPr>
        <w:tab/>
      </w:r>
      <w:r w:rsidRPr="00C40B5B">
        <w:rPr>
          <w:b/>
          <w:bCs/>
        </w:rPr>
        <w:tab/>
      </w:r>
      <w:r w:rsidRPr="00C40B5B">
        <w:rPr>
          <w:b/>
          <w:bCs/>
        </w:rPr>
        <w:tab/>
      </w:r>
      <w:r w:rsidRPr="00C40B5B">
        <w:rPr>
          <w:b/>
          <w:bCs/>
        </w:rPr>
        <w:tab/>
      </w:r>
      <w:r w:rsidRPr="00C40B5B">
        <w:rPr>
          <w:b/>
          <w:bCs/>
        </w:rPr>
        <w:tab/>
      </w:r>
    </w:p>
    <w:p w:rsidR="000F7E70" w:rsidRPr="00C40B5B" w:rsidRDefault="000F7E70" w:rsidP="000F7E70">
      <w:pPr>
        <w:autoSpaceDE w:val="0"/>
        <w:jc w:val="both"/>
        <w:rPr>
          <w:b/>
          <w:bCs/>
        </w:rPr>
      </w:pPr>
      <w:r w:rsidRPr="00C40B5B">
        <w:rPr>
          <w:b/>
          <w:bCs/>
        </w:rPr>
        <w:t xml:space="preserve">Date of adoption: </w:t>
      </w:r>
      <w:r w:rsidR="005B0264" w:rsidRPr="00C40B5B">
        <w:rPr>
          <w:b/>
          <w:bCs/>
        </w:rPr>
        <w:t>25</w:t>
      </w:r>
      <w:r w:rsidR="00DC1ED1" w:rsidRPr="00C40B5B">
        <w:rPr>
          <w:b/>
          <w:bCs/>
        </w:rPr>
        <w:t xml:space="preserve"> </w:t>
      </w:r>
      <w:r w:rsidR="0015169F" w:rsidRPr="00C40B5B">
        <w:rPr>
          <w:b/>
          <w:bCs/>
        </w:rPr>
        <w:t xml:space="preserve">September </w:t>
      </w:r>
      <w:r w:rsidRPr="00C40B5B">
        <w:rPr>
          <w:b/>
          <w:bCs/>
        </w:rPr>
        <w:t>20</w:t>
      </w:r>
      <w:r w:rsidR="00C905F1" w:rsidRPr="00C40B5B">
        <w:rPr>
          <w:b/>
          <w:bCs/>
        </w:rPr>
        <w:t>1</w:t>
      </w:r>
      <w:r w:rsidR="000A65EB" w:rsidRPr="00C40B5B">
        <w:rPr>
          <w:b/>
          <w:bCs/>
        </w:rPr>
        <w:t>4</w:t>
      </w:r>
    </w:p>
    <w:p w:rsidR="005748E9" w:rsidRPr="00C40B5B" w:rsidRDefault="005748E9" w:rsidP="005748E9">
      <w:pPr>
        <w:autoSpaceDE w:val="0"/>
        <w:autoSpaceDN w:val="0"/>
        <w:adjustRightInd w:val="0"/>
        <w:jc w:val="both"/>
        <w:rPr>
          <w:b/>
          <w:bCs/>
        </w:rPr>
      </w:pPr>
    </w:p>
    <w:p w:rsidR="005748E9" w:rsidRPr="00C40B5B" w:rsidRDefault="00DC1ED1" w:rsidP="005748E9">
      <w:pPr>
        <w:autoSpaceDE w:val="0"/>
        <w:autoSpaceDN w:val="0"/>
        <w:adjustRightInd w:val="0"/>
        <w:jc w:val="both"/>
        <w:rPr>
          <w:b/>
          <w:bCs/>
        </w:rPr>
      </w:pPr>
      <w:r w:rsidRPr="00C40B5B">
        <w:rPr>
          <w:b/>
          <w:bCs/>
        </w:rPr>
        <w:t xml:space="preserve">Case No. </w:t>
      </w:r>
      <w:r w:rsidR="0015169F" w:rsidRPr="00C40B5B">
        <w:rPr>
          <w:b/>
          <w:bCs/>
        </w:rPr>
        <w:t>160/09</w:t>
      </w:r>
    </w:p>
    <w:p w:rsidR="005748E9" w:rsidRPr="00C40B5B" w:rsidRDefault="005748E9" w:rsidP="005748E9">
      <w:pPr>
        <w:autoSpaceDE w:val="0"/>
        <w:autoSpaceDN w:val="0"/>
        <w:adjustRightInd w:val="0"/>
        <w:jc w:val="both"/>
        <w:rPr>
          <w:b/>
          <w:bCs/>
        </w:rPr>
      </w:pPr>
    </w:p>
    <w:p w:rsidR="009E6063" w:rsidRPr="00C40B5B" w:rsidRDefault="0015169F" w:rsidP="00E327E1">
      <w:pPr>
        <w:autoSpaceDE w:val="0"/>
        <w:autoSpaceDN w:val="0"/>
        <w:adjustRightInd w:val="0"/>
        <w:jc w:val="both"/>
        <w:rPr>
          <w:b/>
          <w:bCs/>
        </w:rPr>
      </w:pPr>
      <w:r w:rsidRPr="00C40B5B">
        <w:rPr>
          <w:b/>
          <w:bCs/>
        </w:rPr>
        <w:t>Radmila TOMIĆ</w:t>
      </w:r>
    </w:p>
    <w:p w:rsidR="00DC1ED1" w:rsidRPr="00C40B5B" w:rsidRDefault="00DC1ED1" w:rsidP="000F7E70">
      <w:pPr>
        <w:autoSpaceDE w:val="0"/>
        <w:jc w:val="both"/>
        <w:rPr>
          <w:b/>
          <w:bCs/>
        </w:rPr>
      </w:pPr>
    </w:p>
    <w:p w:rsidR="000F7E70" w:rsidRPr="00C40B5B" w:rsidRDefault="000F7E70" w:rsidP="000F7E70">
      <w:pPr>
        <w:autoSpaceDE w:val="0"/>
        <w:jc w:val="both"/>
        <w:rPr>
          <w:bCs/>
        </w:rPr>
      </w:pPr>
      <w:proofErr w:type="gramStart"/>
      <w:r w:rsidRPr="00C40B5B">
        <w:rPr>
          <w:b/>
          <w:bCs/>
        </w:rPr>
        <w:t>against</w:t>
      </w:r>
      <w:proofErr w:type="gramEnd"/>
    </w:p>
    <w:p w:rsidR="000F7E70" w:rsidRPr="00C40B5B" w:rsidRDefault="000F7E70" w:rsidP="000F7E70">
      <w:pPr>
        <w:autoSpaceDE w:val="0"/>
        <w:jc w:val="both"/>
        <w:rPr>
          <w:b/>
          <w:bCs/>
        </w:rPr>
      </w:pPr>
      <w:r w:rsidRPr="00C40B5B">
        <w:rPr>
          <w:b/>
          <w:bCs/>
        </w:rPr>
        <w:t xml:space="preserve"> </w:t>
      </w:r>
    </w:p>
    <w:p w:rsidR="000F7E70" w:rsidRPr="00C40B5B" w:rsidRDefault="000F7E70" w:rsidP="000F7E70">
      <w:pPr>
        <w:autoSpaceDE w:val="0"/>
        <w:jc w:val="both"/>
        <w:rPr>
          <w:b/>
          <w:bCs/>
        </w:rPr>
      </w:pPr>
      <w:r w:rsidRPr="00C40B5B">
        <w:rPr>
          <w:b/>
          <w:bCs/>
        </w:rPr>
        <w:t xml:space="preserve">UNMIK </w:t>
      </w:r>
    </w:p>
    <w:p w:rsidR="00E07C8C" w:rsidRPr="00C40B5B" w:rsidRDefault="00E07C8C" w:rsidP="000F7E70">
      <w:pPr>
        <w:autoSpaceDE w:val="0"/>
        <w:jc w:val="both"/>
        <w:rPr>
          <w:b/>
          <w:bCs/>
        </w:rPr>
      </w:pPr>
    </w:p>
    <w:p w:rsidR="004202B2" w:rsidRPr="00C40B5B" w:rsidRDefault="004202B2" w:rsidP="000F7E70">
      <w:pPr>
        <w:autoSpaceDE w:val="0"/>
        <w:jc w:val="both"/>
        <w:rPr>
          <w:b/>
          <w:bCs/>
        </w:rPr>
      </w:pPr>
    </w:p>
    <w:p w:rsidR="0015169F" w:rsidRPr="00C40B5B" w:rsidRDefault="0015169F" w:rsidP="0015169F">
      <w:pPr>
        <w:autoSpaceDE w:val="0"/>
        <w:jc w:val="both"/>
      </w:pPr>
      <w:r w:rsidRPr="00C40B5B">
        <w:t xml:space="preserve">The Human Rights Advisory Panel, on </w:t>
      </w:r>
      <w:r w:rsidR="00AE19BC">
        <w:t xml:space="preserve">25 </w:t>
      </w:r>
      <w:r w:rsidRPr="00C40B5B">
        <w:t>September 2014,</w:t>
      </w:r>
    </w:p>
    <w:p w:rsidR="0015169F" w:rsidRPr="00C40B5B" w:rsidRDefault="0015169F" w:rsidP="0015169F">
      <w:pPr>
        <w:autoSpaceDE w:val="0"/>
        <w:jc w:val="both"/>
      </w:pPr>
      <w:proofErr w:type="gramStart"/>
      <w:r w:rsidRPr="00C40B5B">
        <w:t>with</w:t>
      </w:r>
      <w:proofErr w:type="gramEnd"/>
      <w:r w:rsidRPr="00C40B5B">
        <w:t xml:space="preserve"> the following members taking part:</w:t>
      </w:r>
    </w:p>
    <w:p w:rsidR="004D6157" w:rsidRPr="00C40B5B" w:rsidRDefault="004D6157" w:rsidP="004D6157">
      <w:pPr>
        <w:autoSpaceDE w:val="0"/>
        <w:jc w:val="both"/>
      </w:pPr>
    </w:p>
    <w:p w:rsidR="004D6157" w:rsidRPr="00C40B5B" w:rsidRDefault="004D6157" w:rsidP="004D6157">
      <w:pPr>
        <w:autoSpaceDE w:val="0"/>
        <w:jc w:val="both"/>
      </w:pPr>
      <w:r w:rsidRPr="00C40B5B">
        <w:t>Marek Nowicki, Presiding Member</w:t>
      </w:r>
    </w:p>
    <w:p w:rsidR="004D6157" w:rsidRPr="00C40B5B" w:rsidRDefault="004D6157" w:rsidP="004D6157">
      <w:pPr>
        <w:autoSpaceDE w:val="0"/>
        <w:jc w:val="both"/>
      </w:pPr>
      <w:r w:rsidRPr="00C40B5B">
        <w:t>Christine Chinkin</w:t>
      </w:r>
    </w:p>
    <w:p w:rsidR="004D6157" w:rsidRPr="00C40B5B" w:rsidRDefault="004D6157" w:rsidP="004D6157">
      <w:pPr>
        <w:autoSpaceDE w:val="0"/>
        <w:jc w:val="both"/>
        <w:rPr>
          <w:color w:val="FF0000"/>
        </w:rPr>
      </w:pPr>
      <w:r w:rsidRPr="00C40B5B">
        <w:t>Françoise Tulkens</w:t>
      </w:r>
    </w:p>
    <w:p w:rsidR="004D6157" w:rsidRPr="00C40B5B" w:rsidRDefault="004D6157" w:rsidP="004D6157">
      <w:pPr>
        <w:autoSpaceDE w:val="0"/>
        <w:jc w:val="both"/>
      </w:pPr>
    </w:p>
    <w:p w:rsidR="004D6157" w:rsidRPr="00C40B5B" w:rsidRDefault="004D6157" w:rsidP="004D6157">
      <w:pPr>
        <w:autoSpaceDE w:val="0"/>
        <w:jc w:val="both"/>
      </w:pPr>
      <w:r w:rsidRPr="00C40B5B">
        <w:t>Assisted by</w:t>
      </w:r>
    </w:p>
    <w:p w:rsidR="004D6157" w:rsidRPr="00C40B5B" w:rsidRDefault="004D6157" w:rsidP="004D6157">
      <w:pPr>
        <w:autoSpaceDE w:val="0"/>
        <w:jc w:val="both"/>
      </w:pPr>
    </w:p>
    <w:p w:rsidR="004D6157" w:rsidRPr="00C40B5B" w:rsidRDefault="0015169F" w:rsidP="004D6157">
      <w:pPr>
        <w:autoSpaceDE w:val="0"/>
        <w:jc w:val="both"/>
      </w:pPr>
      <w:r w:rsidRPr="00C40B5B">
        <w:t>An</w:t>
      </w:r>
      <w:r w:rsidR="001012E6" w:rsidRPr="00C40B5B">
        <w:t>d</w:t>
      </w:r>
      <w:r w:rsidRPr="00C40B5B">
        <w:t>rey Antonov</w:t>
      </w:r>
      <w:r w:rsidR="004D6157" w:rsidRPr="00C40B5B">
        <w:t>,</w:t>
      </w:r>
      <w:r w:rsidR="0078374E" w:rsidRPr="00C40B5B">
        <w:t xml:space="preserve"> </w:t>
      </w:r>
      <w:r w:rsidR="004D6157" w:rsidRPr="00C40B5B">
        <w:t>Executive Officer</w:t>
      </w:r>
    </w:p>
    <w:p w:rsidR="004D6157" w:rsidRPr="00C40B5B" w:rsidRDefault="004D6157" w:rsidP="004D6157">
      <w:pPr>
        <w:autoSpaceDE w:val="0"/>
        <w:jc w:val="both"/>
      </w:pPr>
    </w:p>
    <w:p w:rsidR="004D6157" w:rsidRPr="00C40B5B" w:rsidRDefault="004D6157" w:rsidP="004D6157">
      <w:pPr>
        <w:autoSpaceDE w:val="0"/>
        <w:jc w:val="both"/>
      </w:pPr>
    </w:p>
    <w:p w:rsidR="004D6157" w:rsidRPr="00C40B5B" w:rsidRDefault="004D6157" w:rsidP="004D6157">
      <w:pPr>
        <w:autoSpaceDE w:val="0"/>
        <w:jc w:val="both"/>
      </w:pPr>
      <w:r w:rsidRPr="00C40B5B">
        <w:t>Having consider</w:t>
      </w:r>
      <w:r w:rsidR="0078374E" w:rsidRPr="00C40B5B">
        <w:t>ed the aforementioned complaint</w:t>
      </w:r>
      <w:r w:rsidRPr="00C40B5B">
        <w:t>, introduced pursuant to Section 1.2 of UNMIK Regulation No. 2006/12 of 23 March 2006 on the establishment of the Human Rights Advisory Panel,</w:t>
      </w:r>
    </w:p>
    <w:p w:rsidR="004D6157" w:rsidRPr="00C40B5B" w:rsidRDefault="004D6157" w:rsidP="004D6157">
      <w:pPr>
        <w:autoSpaceDE w:val="0"/>
        <w:jc w:val="both"/>
      </w:pPr>
    </w:p>
    <w:p w:rsidR="00883115" w:rsidRPr="00C40B5B" w:rsidRDefault="00883115" w:rsidP="00883115">
      <w:pPr>
        <w:autoSpaceDE w:val="0"/>
        <w:jc w:val="both"/>
      </w:pPr>
      <w:r w:rsidRPr="00C40B5B">
        <w:t>Having deliberated, including through electronic means, in accordance with Rule 13 § 2 of its Rules of Procedure, makes the following findings and recommendations:</w:t>
      </w:r>
    </w:p>
    <w:p w:rsidR="00022E69" w:rsidRPr="00C40B5B" w:rsidRDefault="00022E69" w:rsidP="004D6157">
      <w:pPr>
        <w:autoSpaceDE w:val="0"/>
        <w:jc w:val="both"/>
      </w:pPr>
    </w:p>
    <w:p w:rsidR="00C56AB3" w:rsidRPr="00C40B5B" w:rsidRDefault="00C56AB3" w:rsidP="004D6157">
      <w:pPr>
        <w:autoSpaceDE w:val="0"/>
        <w:jc w:val="both"/>
      </w:pPr>
    </w:p>
    <w:p w:rsidR="0016154E" w:rsidRPr="00C40B5B" w:rsidRDefault="0016154E" w:rsidP="00B50188">
      <w:pPr>
        <w:numPr>
          <w:ilvl w:val="0"/>
          <w:numId w:val="1"/>
        </w:numPr>
        <w:suppressAutoHyphens/>
        <w:autoSpaceDE w:val="0"/>
        <w:ind w:left="360" w:hanging="360"/>
        <w:jc w:val="both"/>
        <w:rPr>
          <w:b/>
          <w:bCs/>
        </w:rPr>
      </w:pPr>
      <w:r w:rsidRPr="00C40B5B">
        <w:rPr>
          <w:b/>
          <w:bCs/>
        </w:rPr>
        <w:t>PROCEEDINGS BEFORE THE PANEL</w:t>
      </w:r>
    </w:p>
    <w:p w:rsidR="00E327E1" w:rsidRPr="00C40B5B" w:rsidRDefault="00E327E1" w:rsidP="00E327E1">
      <w:pPr>
        <w:pStyle w:val="Default"/>
        <w:ind w:left="360"/>
        <w:jc w:val="both"/>
        <w:rPr>
          <w:color w:val="auto"/>
          <w:lang w:val="en-GB"/>
        </w:rPr>
      </w:pPr>
    </w:p>
    <w:p w:rsidR="005D0C51" w:rsidRPr="00C40B5B" w:rsidRDefault="005D0C51" w:rsidP="005D0C51">
      <w:pPr>
        <w:pStyle w:val="Default"/>
        <w:numPr>
          <w:ilvl w:val="0"/>
          <w:numId w:val="12"/>
        </w:numPr>
        <w:jc w:val="both"/>
      </w:pPr>
      <w:r w:rsidRPr="00C40B5B">
        <w:t>The complaint was introduced on 30 March 2009 and registered on 30 April 2009.</w:t>
      </w:r>
    </w:p>
    <w:p w:rsidR="005D0C51" w:rsidRPr="00C40B5B" w:rsidRDefault="005D0C51" w:rsidP="005D0C51">
      <w:pPr>
        <w:pStyle w:val="Default"/>
        <w:jc w:val="both"/>
      </w:pPr>
    </w:p>
    <w:p w:rsidR="005D0C51" w:rsidRPr="00C40B5B" w:rsidRDefault="005D0C51" w:rsidP="005D0C51">
      <w:pPr>
        <w:numPr>
          <w:ilvl w:val="0"/>
          <w:numId w:val="12"/>
        </w:numPr>
        <w:jc w:val="both"/>
      </w:pPr>
      <w:r w:rsidRPr="00C40B5B">
        <w:t xml:space="preserve">On 23 December 2009, the Panel requested </w:t>
      </w:r>
      <w:r w:rsidRPr="00C40B5B">
        <w:rPr>
          <w:bCs/>
        </w:rPr>
        <w:t xml:space="preserve">the complainant </w:t>
      </w:r>
      <w:r w:rsidRPr="00C40B5B">
        <w:t>to submit additional information. No response was received from the complainant.</w:t>
      </w:r>
    </w:p>
    <w:p w:rsidR="005D0C51" w:rsidRPr="00C40B5B" w:rsidRDefault="005D0C51" w:rsidP="005D0C51">
      <w:pPr>
        <w:ind w:left="360"/>
        <w:jc w:val="both"/>
      </w:pPr>
    </w:p>
    <w:p w:rsidR="005D0C51" w:rsidRPr="00C40B5B" w:rsidRDefault="005D0C51" w:rsidP="005D0C51">
      <w:pPr>
        <w:numPr>
          <w:ilvl w:val="0"/>
          <w:numId w:val="12"/>
        </w:numPr>
        <w:jc w:val="both"/>
      </w:pPr>
      <w:r w:rsidRPr="00C40B5B">
        <w:t xml:space="preserve">On 13 January 2010, the Panel reiterated its request </w:t>
      </w:r>
      <w:r w:rsidRPr="00C40B5B">
        <w:rPr>
          <w:color w:val="000000"/>
          <w:lang w:eastAsia="nl-NL"/>
        </w:rPr>
        <w:t>for further information to the complainant</w:t>
      </w:r>
      <w:r w:rsidRPr="00C40B5B">
        <w:t>. The complainant’s response was received on 11 February 2010.</w:t>
      </w:r>
    </w:p>
    <w:p w:rsidR="005D0C51" w:rsidRPr="00C40B5B" w:rsidRDefault="005D0C51" w:rsidP="005D0C51">
      <w:pPr>
        <w:ind w:left="360"/>
        <w:jc w:val="both"/>
      </w:pPr>
    </w:p>
    <w:p w:rsidR="005D0C51" w:rsidRPr="00C40B5B" w:rsidRDefault="005D0C51" w:rsidP="005D0C51">
      <w:pPr>
        <w:numPr>
          <w:ilvl w:val="0"/>
          <w:numId w:val="12"/>
        </w:numPr>
        <w:jc w:val="both"/>
        <w:rPr>
          <w:b/>
        </w:rPr>
      </w:pPr>
      <w:r w:rsidRPr="00C40B5B">
        <w:t>On 17 February 2011, the complaint was communicated to the Special Representative of the Secretary-General (SRSG)</w:t>
      </w:r>
      <w:r w:rsidR="00820F3A" w:rsidRPr="00C40B5B">
        <w:rPr>
          <w:rStyle w:val="FootnoteReference"/>
        </w:rPr>
        <w:t xml:space="preserve"> </w:t>
      </w:r>
      <w:r w:rsidR="00820F3A" w:rsidRPr="00C40B5B">
        <w:rPr>
          <w:rStyle w:val="FootnoteReference"/>
        </w:rPr>
        <w:footnoteReference w:id="1"/>
      </w:r>
      <w:r w:rsidRPr="00C40B5B">
        <w:t>, for UNMIK’s comments on admissibility. On 14 April 2011, the Panel received UNMIK’s response.</w:t>
      </w:r>
    </w:p>
    <w:p w:rsidR="00DC1ED1" w:rsidRPr="00C40B5B" w:rsidRDefault="00DC1ED1" w:rsidP="00DC1ED1">
      <w:pPr>
        <w:pStyle w:val="ListParagraph"/>
      </w:pPr>
    </w:p>
    <w:p w:rsidR="00DC1ED1" w:rsidRPr="00C40B5B" w:rsidRDefault="00E327E1" w:rsidP="00DC1ED1">
      <w:pPr>
        <w:numPr>
          <w:ilvl w:val="0"/>
          <w:numId w:val="12"/>
        </w:numPr>
        <w:autoSpaceDE w:val="0"/>
        <w:autoSpaceDN w:val="0"/>
        <w:adjustRightInd w:val="0"/>
        <w:jc w:val="both"/>
        <w:rPr>
          <w:color w:val="000000"/>
          <w:lang w:eastAsia="nl-NL"/>
        </w:rPr>
      </w:pPr>
      <w:r w:rsidRPr="00C40B5B">
        <w:t xml:space="preserve">On </w:t>
      </w:r>
      <w:r w:rsidR="005D0C51" w:rsidRPr="00C40B5B">
        <w:t>05 April</w:t>
      </w:r>
      <w:r w:rsidR="00647FB1" w:rsidRPr="00C40B5B">
        <w:t xml:space="preserve"> </w:t>
      </w:r>
      <w:r w:rsidRPr="00C40B5B">
        <w:t>201</w:t>
      </w:r>
      <w:r w:rsidR="002E0AF3" w:rsidRPr="00C40B5B">
        <w:t>2</w:t>
      </w:r>
      <w:r w:rsidRPr="00C40B5B">
        <w:t>, t</w:t>
      </w:r>
      <w:r w:rsidR="007766DD" w:rsidRPr="00C40B5B">
        <w:t>he Panel declared the complaint</w:t>
      </w:r>
      <w:r w:rsidRPr="00C40B5B">
        <w:t xml:space="preserve"> admissible</w:t>
      </w:r>
      <w:r w:rsidR="004865D9" w:rsidRPr="00C40B5B">
        <w:t>.</w:t>
      </w:r>
    </w:p>
    <w:p w:rsidR="00DC1ED1" w:rsidRPr="00C40B5B" w:rsidRDefault="00DC1ED1" w:rsidP="00DC1ED1">
      <w:pPr>
        <w:pStyle w:val="ListParagraph"/>
      </w:pPr>
    </w:p>
    <w:p w:rsidR="00DC1ED1" w:rsidRPr="00C40B5B" w:rsidRDefault="00F855B3" w:rsidP="00DC1ED1">
      <w:pPr>
        <w:numPr>
          <w:ilvl w:val="0"/>
          <w:numId w:val="12"/>
        </w:numPr>
        <w:autoSpaceDE w:val="0"/>
        <w:autoSpaceDN w:val="0"/>
        <w:adjustRightInd w:val="0"/>
        <w:jc w:val="both"/>
        <w:rPr>
          <w:color w:val="000000"/>
          <w:lang w:eastAsia="nl-NL"/>
        </w:rPr>
      </w:pPr>
      <w:r w:rsidRPr="00C40B5B">
        <w:t xml:space="preserve">On </w:t>
      </w:r>
      <w:r w:rsidR="005D0C51" w:rsidRPr="00C40B5B">
        <w:t xml:space="preserve">11 April </w:t>
      </w:r>
      <w:r w:rsidR="00E327E1" w:rsidRPr="00C40B5B">
        <w:t>201</w:t>
      </w:r>
      <w:r w:rsidR="00ED668C" w:rsidRPr="00C40B5B">
        <w:t>2</w:t>
      </w:r>
      <w:r w:rsidR="00E327E1" w:rsidRPr="00C40B5B">
        <w:t xml:space="preserve">, </w:t>
      </w:r>
      <w:r w:rsidRPr="00C40B5B">
        <w:t>the Panel forwarded its decision to the SRSG requesting UNMIK’s comments on the merits of the complaint</w:t>
      </w:r>
      <w:r w:rsidR="00672847" w:rsidRPr="00C40B5B">
        <w:t>.</w:t>
      </w:r>
    </w:p>
    <w:p w:rsidR="00DC1ED1" w:rsidRPr="00C40B5B" w:rsidRDefault="00DC1ED1" w:rsidP="00DC1ED1">
      <w:pPr>
        <w:pStyle w:val="ListParagraph"/>
      </w:pPr>
    </w:p>
    <w:p w:rsidR="00F20398" w:rsidRPr="00C40B5B" w:rsidRDefault="00CC6B19" w:rsidP="00F20398">
      <w:pPr>
        <w:numPr>
          <w:ilvl w:val="0"/>
          <w:numId w:val="12"/>
        </w:numPr>
        <w:autoSpaceDE w:val="0"/>
        <w:autoSpaceDN w:val="0"/>
        <w:adjustRightInd w:val="0"/>
        <w:jc w:val="both"/>
        <w:rPr>
          <w:color w:val="000000"/>
          <w:lang w:eastAsia="nl-NL"/>
        </w:rPr>
      </w:pPr>
      <w:r w:rsidRPr="00C40B5B">
        <w:t xml:space="preserve">On </w:t>
      </w:r>
      <w:r w:rsidR="005D0C51" w:rsidRPr="00C40B5B">
        <w:t>30 August 2013</w:t>
      </w:r>
      <w:r w:rsidR="007F758E" w:rsidRPr="00C40B5B">
        <w:t>,</w:t>
      </w:r>
      <w:r w:rsidRPr="00C40B5B">
        <w:t xml:space="preserve"> the SRSG provided UNMIK’s comments</w:t>
      </w:r>
      <w:r w:rsidR="009F6CF5" w:rsidRPr="00C40B5B">
        <w:t xml:space="preserve"> on the merits of the </w:t>
      </w:r>
      <w:r w:rsidR="00672847" w:rsidRPr="00C40B5B">
        <w:t xml:space="preserve">complaint, </w:t>
      </w:r>
      <w:r w:rsidR="0098749A" w:rsidRPr="00C40B5B">
        <w:t>together with the relevant documentation</w:t>
      </w:r>
      <w:r w:rsidRPr="00C40B5B">
        <w:t>.</w:t>
      </w:r>
    </w:p>
    <w:p w:rsidR="00F20398" w:rsidRPr="00C40B5B" w:rsidRDefault="00F20398" w:rsidP="00F20398">
      <w:pPr>
        <w:pStyle w:val="ListParagraph"/>
      </w:pPr>
    </w:p>
    <w:p w:rsidR="005D0C51" w:rsidRPr="00C40B5B" w:rsidRDefault="005D0C51" w:rsidP="00F20398">
      <w:pPr>
        <w:numPr>
          <w:ilvl w:val="0"/>
          <w:numId w:val="12"/>
        </w:numPr>
        <w:autoSpaceDE w:val="0"/>
        <w:autoSpaceDN w:val="0"/>
        <w:adjustRightInd w:val="0"/>
        <w:jc w:val="both"/>
        <w:rPr>
          <w:color w:val="000000"/>
          <w:lang w:eastAsia="nl-NL"/>
        </w:rPr>
      </w:pPr>
      <w:r w:rsidRPr="00C40B5B">
        <w:t xml:space="preserve">On 14 August 2014, the Panel requested UNMIK to confirm if the disclosure of files concerning the case could be considered final. </w:t>
      </w:r>
      <w:bookmarkStart w:id="1" w:name="_Ref368060542"/>
      <w:r w:rsidRPr="00C40B5B">
        <w:t>On 15 August 2014, UNMIK provided its response.</w:t>
      </w:r>
      <w:bookmarkEnd w:id="1"/>
    </w:p>
    <w:p w:rsidR="00DC1ED1" w:rsidRPr="00C40B5B" w:rsidRDefault="00DC1ED1" w:rsidP="00DC1ED1">
      <w:pPr>
        <w:pStyle w:val="ListParagraph"/>
        <w:rPr>
          <w:color w:val="000000"/>
          <w:lang w:eastAsia="nl-NL"/>
        </w:rPr>
      </w:pPr>
    </w:p>
    <w:p w:rsidR="00DC1ED1" w:rsidRPr="00C40B5B" w:rsidRDefault="00DC1ED1" w:rsidP="00DC1ED1">
      <w:pPr>
        <w:autoSpaceDE w:val="0"/>
        <w:autoSpaceDN w:val="0"/>
        <w:adjustRightInd w:val="0"/>
        <w:jc w:val="both"/>
        <w:rPr>
          <w:color w:val="000000"/>
          <w:lang w:eastAsia="nl-NL"/>
        </w:rPr>
      </w:pPr>
    </w:p>
    <w:p w:rsidR="00DC1ED1" w:rsidRPr="00C40B5B" w:rsidRDefault="00DC1ED1" w:rsidP="00B202AE">
      <w:pPr>
        <w:numPr>
          <w:ilvl w:val="0"/>
          <w:numId w:val="1"/>
        </w:numPr>
        <w:suppressAutoHyphens/>
        <w:autoSpaceDE w:val="0"/>
        <w:ind w:left="360" w:hanging="360"/>
        <w:jc w:val="both"/>
        <w:rPr>
          <w:b/>
          <w:bCs/>
        </w:rPr>
      </w:pPr>
      <w:r w:rsidRPr="00C40B5B">
        <w:rPr>
          <w:b/>
          <w:bCs/>
        </w:rPr>
        <w:t>THE FACTS</w:t>
      </w:r>
    </w:p>
    <w:p w:rsidR="00DC1ED1" w:rsidRPr="00C40B5B" w:rsidRDefault="00DC1ED1" w:rsidP="00DC1ED1">
      <w:pPr>
        <w:autoSpaceDE w:val="0"/>
        <w:autoSpaceDN w:val="0"/>
        <w:adjustRightInd w:val="0"/>
        <w:jc w:val="both"/>
        <w:rPr>
          <w:b/>
          <w:color w:val="000000"/>
          <w:lang w:eastAsia="nl-NL"/>
        </w:rPr>
      </w:pPr>
    </w:p>
    <w:p w:rsidR="00DC1ED1" w:rsidRPr="00C40B5B" w:rsidRDefault="00DC1ED1" w:rsidP="00B202AE">
      <w:pPr>
        <w:pStyle w:val="ListParagraph"/>
        <w:numPr>
          <w:ilvl w:val="0"/>
          <w:numId w:val="18"/>
        </w:numPr>
        <w:autoSpaceDE w:val="0"/>
        <w:jc w:val="both"/>
        <w:rPr>
          <w:b/>
          <w:color w:val="000000"/>
          <w:lang w:eastAsia="nl-NL"/>
        </w:rPr>
      </w:pPr>
      <w:r w:rsidRPr="00C40B5B">
        <w:rPr>
          <w:b/>
          <w:bCs/>
        </w:rPr>
        <w:t>General background</w:t>
      </w:r>
      <w:r w:rsidR="00820F3A" w:rsidRPr="00C40B5B">
        <w:rPr>
          <w:rStyle w:val="FootnoteReference"/>
          <w:b/>
        </w:rPr>
        <w:footnoteReference w:id="2"/>
      </w:r>
      <w:r w:rsidR="00820F3A" w:rsidRPr="00C40B5B">
        <w:rPr>
          <w:b/>
        </w:rPr>
        <w:t xml:space="preserve"> </w:t>
      </w:r>
      <w:r w:rsidRPr="00C40B5B">
        <w:rPr>
          <w:b/>
          <w:bCs/>
        </w:rPr>
        <w:t xml:space="preserve">  </w:t>
      </w:r>
    </w:p>
    <w:p w:rsidR="00DC1ED1" w:rsidRPr="00C40B5B" w:rsidRDefault="00DC1ED1" w:rsidP="00DC1ED1">
      <w:pPr>
        <w:pStyle w:val="ListParagraph"/>
      </w:pPr>
    </w:p>
    <w:p w:rsidR="00606B4D" w:rsidRPr="00C40B5B" w:rsidRDefault="00574094" w:rsidP="00606B4D">
      <w:pPr>
        <w:numPr>
          <w:ilvl w:val="0"/>
          <w:numId w:val="12"/>
        </w:numPr>
        <w:autoSpaceDE w:val="0"/>
        <w:autoSpaceDN w:val="0"/>
        <w:adjustRightInd w:val="0"/>
        <w:jc w:val="both"/>
        <w:rPr>
          <w:color w:val="000000"/>
          <w:lang w:eastAsia="nl-NL"/>
        </w:rPr>
      </w:pPr>
      <w:r w:rsidRPr="00C40B5B">
        <w:t>The events at issue took place in the territory of Kosovo</w:t>
      </w:r>
      <w:r w:rsidR="00881AF6" w:rsidRPr="00C40B5B">
        <w:t xml:space="preserve"> during the conflict and after</w:t>
      </w:r>
      <w:r w:rsidR="00371F95" w:rsidRPr="00C40B5B">
        <w:t xml:space="preserve"> </w:t>
      </w:r>
      <w:r w:rsidRPr="00C40B5B">
        <w:t>the establishment in June 1999 of the United Nations Interim Administration Mission in Kosovo (UNMIK).</w:t>
      </w:r>
    </w:p>
    <w:p w:rsidR="00606B4D" w:rsidRPr="00C40B5B" w:rsidRDefault="00606B4D" w:rsidP="00606B4D">
      <w:pPr>
        <w:autoSpaceDE w:val="0"/>
        <w:autoSpaceDN w:val="0"/>
        <w:adjustRightInd w:val="0"/>
        <w:ind w:left="360"/>
        <w:jc w:val="both"/>
        <w:rPr>
          <w:color w:val="000000"/>
          <w:lang w:eastAsia="nl-NL"/>
        </w:rPr>
      </w:pPr>
    </w:p>
    <w:p w:rsidR="00606B4D" w:rsidRPr="00C40B5B" w:rsidRDefault="00C75A82" w:rsidP="00606B4D">
      <w:pPr>
        <w:numPr>
          <w:ilvl w:val="0"/>
          <w:numId w:val="12"/>
        </w:numPr>
        <w:autoSpaceDE w:val="0"/>
        <w:autoSpaceDN w:val="0"/>
        <w:adjustRightInd w:val="0"/>
        <w:jc w:val="both"/>
        <w:rPr>
          <w:color w:val="000000"/>
          <w:lang w:eastAsia="nl-NL"/>
        </w:rPr>
      </w:pPr>
      <w:r w:rsidRPr="00C40B5B">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w:t>
      </w:r>
      <w:r w:rsidRPr="00C40B5B">
        <w:lastRenderedPageBreak/>
        <w:t>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bookmarkStart w:id="2" w:name="_Ref373941473"/>
    </w:p>
    <w:p w:rsidR="00606B4D" w:rsidRPr="00C40B5B" w:rsidRDefault="00606B4D" w:rsidP="00606B4D">
      <w:pPr>
        <w:pStyle w:val="ListParagraph"/>
      </w:pPr>
    </w:p>
    <w:p w:rsidR="00606B4D" w:rsidRPr="00C40B5B" w:rsidRDefault="00FE0FB0" w:rsidP="00606B4D">
      <w:pPr>
        <w:numPr>
          <w:ilvl w:val="0"/>
          <w:numId w:val="12"/>
        </w:numPr>
        <w:autoSpaceDE w:val="0"/>
        <w:autoSpaceDN w:val="0"/>
        <w:adjustRightInd w:val="0"/>
        <w:jc w:val="both"/>
        <w:rPr>
          <w:color w:val="000000"/>
          <w:lang w:eastAsia="nl-NL"/>
        </w:rPr>
      </w:pPr>
      <w:r w:rsidRPr="00C40B5B">
        <w:t>O</w:t>
      </w:r>
      <w:r w:rsidR="00C75A82" w:rsidRPr="00C40B5B">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sidRPr="00C40B5B">
        <w:t xml:space="preserve">of Kosovo. </w:t>
      </w:r>
      <w:r w:rsidR="00C75A82" w:rsidRPr="00C40B5B">
        <w:t>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2"/>
    </w:p>
    <w:p w:rsidR="00606B4D" w:rsidRPr="00C40B5B" w:rsidRDefault="00606B4D" w:rsidP="00606B4D">
      <w:pPr>
        <w:autoSpaceDE w:val="0"/>
        <w:autoSpaceDN w:val="0"/>
        <w:adjustRightInd w:val="0"/>
        <w:ind w:left="360"/>
        <w:jc w:val="both"/>
        <w:rPr>
          <w:color w:val="000000"/>
          <w:lang w:eastAsia="nl-NL"/>
        </w:rPr>
      </w:pPr>
    </w:p>
    <w:p w:rsidR="00606B4D" w:rsidRPr="00C40B5B" w:rsidRDefault="00C75A82" w:rsidP="00606B4D">
      <w:pPr>
        <w:numPr>
          <w:ilvl w:val="0"/>
          <w:numId w:val="12"/>
        </w:numPr>
        <w:autoSpaceDE w:val="0"/>
        <w:autoSpaceDN w:val="0"/>
        <w:adjustRightInd w:val="0"/>
        <w:jc w:val="both"/>
        <w:rPr>
          <w:color w:val="000000"/>
          <w:lang w:eastAsia="nl-NL"/>
        </w:rPr>
      </w:pPr>
      <w:r w:rsidRPr="00C40B5B">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606B4D" w:rsidRPr="00C40B5B" w:rsidRDefault="00606B4D" w:rsidP="00606B4D">
      <w:pPr>
        <w:pStyle w:val="ListParagraph"/>
      </w:pPr>
    </w:p>
    <w:p w:rsidR="00606B4D" w:rsidRPr="00C40B5B" w:rsidRDefault="00C75A82" w:rsidP="00606B4D">
      <w:pPr>
        <w:numPr>
          <w:ilvl w:val="0"/>
          <w:numId w:val="12"/>
        </w:numPr>
        <w:autoSpaceDE w:val="0"/>
        <w:autoSpaceDN w:val="0"/>
        <w:adjustRightInd w:val="0"/>
        <w:jc w:val="both"/>
        <w:rPr>
          <w:color w:val="000000"/>
          <w:lang w:eastAsia="nl-NL"/>
        </w:rPr>
      </w:pPr>
      <w:r w:rsidRPr="00C40B5B">
        <w:t>Meanwhile, members of the non-Albanian community – mainly but not exclusively Serb</w:t>
      </w:r>
      <w:r w:rsidR="00850E2C" w:rsidRPr="00C40B5B">
        <w:t>ian</w:t>
      </w:r>
      <w:r w:rsidRPr="00C40B5B">
        <w:t>s, Roma and Slavic Muslims – as well as Kosovo Albanians suspected of collaboration with the Serbian authorities, became the target of widespread attacks by Kosovo Albanian armed groups. Current estimates relating to the number of Kosovo Serb</w:t>
      </w:r>
      <w:r w:rsidR="001012E6" w:rsidRPr="00C40B5B">
        <w:t>ian</w:t>
      </w:r>
      <w:r w:rsidRPr="00C40B5B">
        <w:t>s displaced fall within the region of 200,000 to 210,000. Whereas most Kosovo Serb</w:t>
      </w:r>
      <w:r w:rsidR="001012E6" w:rsidRPr="00C40B5B">
        <w:t>ian</w:t>
      </w:r>
      <w:r w:rsidRPr="00C40B5B">
        <w:t xml:space="preserve">s and other non-Albanians fled to Serbia proper and the neighbouring countries, those remaining behind became victims of systematic killings, abductions, arbitrary detentions, sexual and gender based violence, beatings and harassment. </w:t>
      </w:r>
    </w:p>
    <w:p w:rsidR="00606B4D" w:rsidRPr="00C40B5B" w:rsidRDefault="00606B4D" w:rsidP="00606B4D">
      <w:pPr>
        <w:pStyle w:val="ListParagraph"/>
      </w:pPr>
    </w:p>
    <w:p w:rsidR="00606B4D" w:rsidRPr="00C40B5B" w:rsidRDefault="00C75A82" w:rsidP="00606B4D">
      <w:pPr>
        <w:numPr>
          <w:ilvl w:val="0"/>
          <w:numId w:val="12"/>
        </w:numPr>
        <w:autoSpaceDE w:val="0"/>
        <w:autoSpaceDN w:val="0"/>
        <w:adjustRightInd w:val="0"/>
        <w:jc w:val="both"/>
        <w:rPr>
          <w:color w:val="000000"/>
          <w:lang w:eastAsia="nl-NL"/>
        </w:rPr>
      </w:pPr>
      <w:r w:rsidRPr="00C40B5B">
        <w:t>Although figures remain disputed, it is estimated that more than 15,000 deaths or disappearances occurred during and in the immediate aftermath of the Kosovo conflict (1998-2000). More than 3,000 ethnic Albanians, and about 800 Serb</w:t>
      </w:r>
      <w:r w:rsidR="00850E2C" w:rsidRPr="00C40B5B">
        <w:t>ian</w:t>
      </w:r>
      <w:r w:rsidRPr="00C40B5B">
        <w:t xml:space="preserve">s, Roma and members of other minority communities went missing during this period. More than half of the missing persons had been located and their mortal remains identified by the end of 2010, while 1,766 are listed as still missing by the </w:t>
      </w:r>
      <w:r w:rsidR="001012E6" w:rsidRPr="00C40B5B">
        <w:t>ICRC a</w:t>
      </w:r>
      <w:r w:rsidRPr="00C40B5B">
        <w:t>s of October 2012.</w:t>
      </w:r>
    </w:p>
    <w:p w:rsidR="00606B4D" w:rsidRPr="00C40B5B" w:rsidRDefault="00606B4D" w:rsidP="00606B4D">
      <w:pPr>
        <w:pStyle w:val="ListParagraph"/>
      </w:pPr>
    </w:p>
    <w:p w:rsidR="00606B4D" w:rsidRPr="00C40B5B" w:rsidRDefault="00C75A82" w:rsidP="00606B4D">
      <w:pPr>
        <w:numPr>
          <w:ilvl w:val="0"/>
          <w:numId w:val="12"/>
        </w:numPr>
        <w:autoSpaceDE w:val="0"/>
        <w:autoSpaceDN w:val="0"/>
        <w:adjustRightInd w:val="0"/>
        <w:jc w:val="both"/>
        <w:rPr>
          <w:color w:val="000000"/>
          <w:lang w:eastAsia="nl-NL"/>
        </w:rPr>
      </w:pPr>
      <w:r w:rsidRPr="00C40B5B">
        <w:lastRenderedPageBreak/>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606B4D" w:rsidRPr="00C40B5B" w:rsidRDefault="00606B4D" w:rsidP="00606B4D">
      <w:pPr>
        <w:pStyle w:val="ListParagraph"/>
      </w:pPr>
    </w:p>
    <w:p w:rsidR="00606B4D" w:rsidRPr="00C40B5B" w:rsidRDefault="00C75A82" w:rsidP="00606B4D">
      <w:pPr>
        <w:numPr>
          <w:ilvl w:val="0"/>
          <w:numId w:val="12"/>
        </w:numPr>
        <w:autoSpaceDE w:val="0"/>
        <w:autoSpaceDN w:val="0"/>
        <w:adjustRightInd w:val="0"/>
        <w:jc w:val="both"/>
        <w:rPr>
          <w:color w:val="000000"/>
          <w:lang w:eastAsia="nl-NL"/>
        </w:rPr>
      </w:pPr>
      <w:r w:rsidRPr="00C40B5B">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3"/>
      <w:r w:rsidRPr="00C40B5B">
        <w:t xml:space="preserve"> </w:t>
      </w:r>
      <w:bookmarkStart w:id="4" w:name="_Ref346123767"/>
    </w:p>
    <w:p w:rsidR="00606B4D" w:rsidRPr="00C40B5B" w:rsidRDefault="00606B4D" w:rsidP="00606B4D">
      <w:pPr>
        <w:pStyle w:val="ListParagraph"/>
      </w:pPr>
    </w:p>
    <w:p w:rsidR="00606B4D" w:rsidRPr="00C40B5B" w:rsidRDefault="00C75A82" w:rsidP="00606B4D">
      <w:pPr>
        <w:numPr>
          <w:ilvl w:val="0"/>
          <w:numId w:val="12"/>
        </w:numPr>
        <w:autoSpaceDE w:val="0"/>
        <w:autoSpaceDN w:val="0"/>
        <w:adjustRightInd w:val="0"/>
        <w:jc w:val="both"/>
        <w:rPr>
          <w:color w:val="000000"/>
          <w:lang w:eastAsia="nl-NL"/>
        </w:rPr>
      </w:pPr>
      <w:r w:rsidRPr="00C40B5B">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4"/>
      <w:r w:rsidRPr="00C40B5B">
        <w:t xml:space="preserve"> </w:t>
      </w:r>
      <w:bookmarkStart w:id="5" w:name="_Ref346725040"/>
    </w:p>
    <w:p w:rsidR="00606B4D" w:rsidRPr="00C40B5B" w:rsidRDefault="00606B4D" w:rsidP="00606B4D">
      <w:pPr>
        <w:pStyle w:val="ListParagraph"/>
      </w:pPr>
    </w:p>
    <w:p w:rsidR="00DA172D" w:rsidRPr="00C40B5B" w:rsidRDefault="00C75A82" w:rsidP="00606B4D">
      <w:pPr>
        <w:numPr>
          <w:ilvl w:val="0"/>
          <w:numId w:val="12"/>
        </w:numPr>
        <w:autoSpaceDE w:val="0"/>
        <w:autoSpaceDN w:val="0"/>
        <w:adjustRightInd w:val="0"/>
        <w:jc w:val="both"/>
        <w:rPr>
          <w:color w:val="000000"/>
          <w:lang w:eastAsia="nl-NL"/>
        </w:rPr>
      </w:pPr>
      <w:r w:rsidRPr="00C40B5B">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40B5B">
        <w:t>persons</w:t>
      </w:r>
      <w:proofErr w:type="gramEnd"/>
      <w:r w:rsidRPr="00C40B5B">
        <w:t xml:space="preserve"> cases in Kosovo. </w:t>
      </w:r>
    </w:p>
    <w:p w:rsidR="00DA172D" w:rsidRPr="00C40B5B" w:rsidRDefault="00DA172D" w:rsidP="00DA172D">
      <w:pPr>
        <w:pStyle w:val="ListParagraph"/>
      </w:pPr>
    </w:p>
    <w:p w:rsidR="00606B4D" w:rsidRPr="00C40B5B" w:rsidRDefault="00C75A82" w:rsidP="00606B4D">
      <w:pPr>
        <w:numPr>
          <w:ilvl w:val="0"/>
          <w:numId w:val="12"/>
        </w:numPr>
        <w:autoSpaceDE w:val="0"/>
        <w:autoSpaceDN w:val="0"/>
        <w:adjustRightInd w:val="0"/>
        <w:jc w:val="both"/>
        <w:rPr>
          <w:color w:val="000000"/>
          <w:lang w:eastAsia="nl-NL"/>
        </w:rPr>
      </w:pPr>
      <w:r w:rsidRPr="00C40B5B">
        <w:t xml:space="preserve">In May 2000, a Victim Recovery and Identification Commission (VRIC) chaired by UNMIK </w:t>
      </w:r>
      <w:proofErr w:type="gramStart"/>
      <w:r w:rsidRPr="00C40B5B">
        <w:t>was</w:t>
      </w:r>
      <w:proofErr w:type="gramEnd"/>
      <w:r w:rsidRPr="00C40B5B">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C40B5B">
        <w:t>persons,</w:t>
      </w:r>
      <w:proofErr w:type="gramEnd"/>
      <w:r w:rsidRPr="00C40B5B">
        <w:t xml:space="preserve"> identify their mortal remains and return them to the family of the missing. Starting from 2001, based on a M</w:t>
      </w:r>
      <w:r w:rsidR="000F1240" w:rsidRPr="00C40B5B">
        <w:t>emorandum of Understanding</w:t>
      </w:r>
      <w:r w:rsidRPr="00C40B5B">
        <w:t xml:space="preserve"> between UNMIK and the Sarajevo-based International Commission of Missing Persons (ICMP), supplemented by a further agreement in 2003, the identification of mortal remains was carried out by the ICMP through DNA testing.</w:t>
      </w:r>
      <w:bookmarkEnd w:id="5"/>
      <w:r w:rsidRPr="00C40B5B">
        <w:t xml:space="preserve"> </w:t>
      </w:r>
      <w:bookmarkStart w:id="6" w:name="_Ref346123927"/>
    </w:p>
    <w:p w:rsidR="00606B4D" w:rsidRPr="00C40B5B" w:rsidRDefault="00606B4D" w:rsidP="00606B4D">
      <w:pPr>
        <w:autoSpaceDE w:val="0"/>
        <w:autoSpaceDN w:val="0"/>
        <w:adjustRightInd w:val="0"/>
        <w:ind w:left="360"/>
        <w:jc w:val="both"/>
        <w:rPr>
          <w:color w:val="000000"/>
          <w:lang w:eastAsia="nl-NL"/>
        </w:rPr>
      </w:pPr>
    </w:p>
    <w:p w:rsidR="00606B4D" w:rsidRPr="00C40B5B" w:rsidRDefault="00C75A82" w:rsidP="00606B4D">
      <w:pPr>
        <w:numPr>
          <w:ilvl w:val="0"/>
          <w:numId w:val="12"/>
        </w:numPr>
        <w:autoSpaceDE w:val="0"/>
        <w:autoSpaceDN w:val="0"/>
        <w:adjustRightInd w:val="0"/>
        <w:jc w:val="both"/>
        <w:rPr>
          <w:color w:val="000000"/>
          <w:lang w:eastAsia="nl-NL"/>
        </w:rPr>
      </w:pPr>
      <w:r w:rsidRPr="00C40B5B">
        <w:t xml:space="preserve">On 9 December 2008, UNMIK’s responsibility with regard to police and justice in Kosovo ended with the European Union Rule of Law Mission in Kosovo (EULEX) assuming full operational control in the area of the rule of law, following the Statement made by the </w:t>
      </w:r>
      <w:r w:rsidRPr="00C40B5B">
        <w:lastRenderedPageBreak/>
        <w:t>President of the United Nations Security Council on 26 November 2008 (S/PRST/2008/44), welcoming the continued engagement of the European Union in Kosovo.</w:t>
      </w:r>
      <w:bookmarkStart w:id="7" w:name="_Ref346123928"/>
      <w:bookmarkEnd w:id="6"/>
    </w:p>
    <w:p w:rsidR="00606B4D" w:rsidRPr="00C40B5B" w:rsidRDefault="00606B4D" w:rsidP="00606B4D">
      <w:pPr>
        <w:pStyle w:val="ListParagraph"/>
      </w:pPr>
    </w:p>
    <w:p w:rsidR="00606B4D" w:rsidRPr="00C40B5B" w:rsidRDefault="00C75A82" w:rsidP="00606B4D">
      <w:pPr>
        <w:numPr>
          <w:ilvl w:val="0"/>
          <w:numId w:val="12"/>
        </w:numPr>
        <w:autoSpaceDE w:val="0"/>
        <w:autoSpaceDN w:val="0"/>
        <w:adjustRightInd w:val="0"/>
        <w:jc w:val="both"/>
        <w:rPr>
          <w:color w:val="000000"/>
          <w:lang w:eastAsia="nl-NL"/>
        </w:rPr>
      </w:pPr>
      <w:r w:rsidRPr="00C40B5B">
        <w:t>On the same da</w:t>
      </w:r>
      <w:r w:rsidR="000F1240" w:rsidRPr="00C40B5B">
        <w:t>te, UNMIK and EULEX signed an agreement</w:t>
      </w:r>
      <w:r w:rsidRPr="00C40B5B">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C40B5B">
        <w:t xml:space="preserve">supposed to be </w:t>
      </w:r>
      <w:r w:rsidRPr="00C40B5B">
        <w:t>handed over to EULEX.</w:t>
      </w:r>
      <w:bookmarkEnd w:id="7"/>
    </w:p>
    <w:p w:rsidR="00606B4D" w:rsidRPr="00C40B5B" w:rsidRDefault="00606B4D" w:rsidP="00606B4D">
      <w:pPr>
        <w:ind w:left="360"/>
        <w:jc w:val="both"/>
        <w:rPr>
          <w:b/>
        </w:rPr>
      </w:pPr>
    </w:p>
    <w:p w:rsidR="00606B4D" w:rsidRPr="00C40B5B" w:rsidRDefault="00606B4D" w:rsidP="00606B4D">
      <w:pPr>
        <w:autoSpaceDE w:val="0"/>
        <w:jc w:val="both"/>
        <w:rPr>
          <w:b/>
        </w:rPr>
      </w:pPr>
      <w:r w:rsidRPr="00C40B5B">
        <w:rPr>
          <w:b/>
          <w:bCs/>
        </w:rPr>
        <w:t xml:space="preserve">B. Circumstances surrounding the </w:t>
      </w:r>
      <w:r w:rsidR="00987E2A" w:rsidRPr="00C40B5B">
        <w:rPr>
          <w:b/>
          <w:bCs/>
        </w:rPr>
        <w:t xml:space="preserve">abduction and </w:t>
      </w:r>
      <w:r w:rsidRPr="00C40B5B">
        <w:rPr>
          <w:b/>
          <w:bCs/>
        </w:rPr>
        <w:t xml:space="preserve">killing of Mr </w:t>
      </w:r>
      <w:proofErr w:type="spellStart"/>
      <w:r w:rsidR="00820F3A" w:rsidRPr="00C40B5B">
        <w:rPr>
          <w:b/>
        </w:rPr>
        <w:t>Svetozar</w:t>
      </w:r>
      <w:proofErr w:type="spellEnd"/>
      <w:r w:rsidR="00820F3A" w:rsidRPr="00C40B5B">
        <w:rPr>
          <w:b/>
        </w:rPr>
        <w:t xml:space="preserve"> </w:t>
      </w:r>
      <w:proofErr w:type="spellStart"/>
      <w:r w:rsidR="00820F3A" w:rsidRPr="00C40B5B">
        <w:rPr>
          <w:b/>
        </w:rPr>
        <w:t>Tomić</w:t>
      </w:r>
      <w:proofErr w:type="spellEnd"/>
    </w:p>
    <w:p w:rsidR="00606B4D" w:rsidRPr="00C40B5B" w:rsidRDefault="00606B4D" w:rsidP="00606B4D">
      <w:pPr>
        <w:pStyle w:val="ListParagraph"/>
      </w:pPr>
    </w:p>
    <w:p w:rsidR="00820F3A" w:rsidRPr="00C40B5B" w:rsidRDefault="00820F3A" w:rsidP="00986939">
      <w:pPr>
        <w:pStyle w:val="ListParagraph"/>
        <w:numPr>
          <w:ilvl w:val="0"/>
          <w:numId w:val="12"/>
        </w:numPr>
        <w:jc w:val="both"/>
      </w:pPr>
      <w:bookmarkStart w:id="8" w:name="_Ref384718992"/>
      <w:r w:rsidRPr="00C40B5B">
        <w:t xml:space="preserve">The complainant is the wife of Mr </w:t>
      </w:r>
      <w:proofErr w:type="spellStart"/>
      <w:r w:rsidRPr="00C40B5B">
        <w:t>Svetozar</w:t>
      </w:r>
      <w:proofErr w:type="spellEnd"/>
      <w:r w:rsidRPr="00C40B5B">
        <w:t xml:space="preserve"> </w:t>
      </w:r>
      <w:proofErr w:type="spellStart"/>
      <w:r w:rsidRPr="00C40B5B">
        <w:t>Tomić</w:t>
      </w:r>
      <w:proofErr w:type="spellEnd"/>
      <w:r w:rsidRPr="00C40B5B">
        <w:t>.</w:t>
      </w:r>
    </w:p>
    <w:p w:rsidR="00820F3A" w:rsidRPr="00C40B5B" w:rsidRDefault="00820F3A" w:rsidP="00820F3A">
      <w:pPr>
        <w:ind w:left="360"/>
        <w:jc w:val="both"/>
      </w:pPr>
    </w:p>
    <w:p w:rsidR="00820F3A" w:rsidRPr="00C40B5B" w:rsidRDefault="00820F3A" w:rsidP="00986939">
      <w:pPr>
        <w:numPr>
          <w:ilvl w:val="0"/>
          <w:numId w:val="12"/>
        </w:numPr>
        <w:jc w:val="both"/>
      </w:pPr>
      <w:r w:rsidRPr="00C40B5B">
        <w:t xml:space="preserve">The complainant states that on 18 July 1998 Mr </w:t>
      </w:r>
      <w:proofErr w:type="spellStart"/>
      <w:r w:rsidRPr="00C40B5B">
        <w:t>Tomić</w:t>
      </w:r>
      <w:proofErr w:type="spellEnd"/>
      <w:r w:rsidRPr="00C40B5B">
        <w:t xml:space="preserve"> was abducted by unknown perpetrators from </w:t>
      </w:r>
      <w:proofErr w:type="spellStart"/>
      <w:r w:rsidRPr="00C40B5B">
        <w:t>Bellacrkvё</w:t>
      </w:r>
      <w:proofErr w:type="spellEnd"/>
      <w:r w:rsidRPr="00C40B5B">
        <w:t>/</w:t>
      </w:r>
      <w:proofErr w:type="spellStart"/>
      <w:r w:rsidRPr="00C40B5B">
        <w:t>Bela</w:t>
      </w:r>
      <w:proofErr w:type="spellEnd"/>
      <w:r w:rsidRPr="00C40B5B">
        <w:t xml:space="preserve"> </w:t>
      </w:r>
      <w:proofErr w:type="spellStart"/>
      <w:r w:rsidRPr="00C40B5B">
        <w:t>Crkva</w:t>
      </w:r>
      <w:proofErr w:type="spellEnd"/>
      <w:r w:rsidRPr="00C40B5B">
        <w:t xml:space="preserve"> village, while travelling between </w:t>
      </w:r>
      <w:proofErr w:type="spellStart"/>
      <w:r w:rsidRPr="00C40B5B">
        <w:t>Gjakovë</w:t>
      </w:r>
      <w:proofErr w:type="spellEnd"/>
      <w:r w:rsidRPr="00C40B5B">
        <w:t>/</w:t>
      </w:r>
      <w:proofErr w:type="spellStart"/>
      <w:r w:rsidRPr="00C40B5B">
        <w:t>Ðakovica</w:t>
      </w:r>
      <w:proofErr w:type="spellEnd"/>
      <w:r w:rsidRPr="00C40B5B">
        <w:t xml:space="preserve"> and Rahovec/Orahovac.</w:t>
      </w:r>
    </w:p>
    <w:p w:rsidR="00820F3A" w:rsidRPr="00C40B5B" w:rsidRDefault="00820F3A" w:rsidP="00820F3A"/>
    <w:p w:rsidR="005D7C33" w:rsidRPr="00C40B5B" w:rsidRDefault="00820F3A" w:rsidP="00986939">
      <w:pPr>
        <w:numPr>
          <w:ilvl w:val="0"/>
          <w:numId w:val="12"/>
        </w:numPr>
        <w:jc w:val="both"/>
      </w:pPr>
      <w:r w:rsidRPr="00C40B5B">
        <w:t>The complainant states that she promptly reported her husband’s abdu</w:t>
      </w:r>
      <w:r w:rsidR="00D524D4" w:rsidRPr="00C40B5B">
        <w:t xml:space="preserve">ction to the Yugoslav Red Cross and Doctors without Borders. She also states that </w:t>
      </w:r>
      <w:r w:rsidR="00262624" w:rsidRPr="00C40B5B">
        <w:t xml:space="preserve">she </w:t>
      </w:r>
      <w:r w:rsidR="00817FBA" w:rsidRPr="00C40B5B">
        <w:t xml:space="preserve">reported her husband’s abduction to the OSCE KVM Mission and to the Humanitarian Law </w:t>
      </w:r>
      <w:proofErr w:type="spellStart"/>
      <w:r w:rsidR="00817FBA" w:rsidRPr="00C40B5B">
        <w:t>Center</w:t>
      </w:r>
      <w:proofErr w:type="spellEnd"/>
      <w:r w:rsidR="00B27BAB" w:rsidRPr="00C40B5B">
        <w:t xml:space="preserve"> </w:t>
      </w:r>
      <w:r w:rsidR="000414AF" w:rsidRPr="00C40B5B">
        <w:t>HLC</w:t>
      </w:r>
      <w:r w:rsidR="009E0B01" w:rsidRPr="00C40B5B">
        <w:t>.</w:t>
      </w:r>
      <w:r w:rsidR="00817FBA" w:rsidRPr="00C40B5B">
        <w:t xml:space="preserve"> </w:t>
      </w:r>
      <w:r w:rsidRPr="00C40B5B">
        <w:t xml:space="preserve">The complainant also states that on an unspecified date Mr </w:t>
      </w:r>
      <w:proofErr w:type="spellStart"/>
      <w:r w:rsidRPr="00C40B5B">
        <w:t>Tomić’s</w:t>
      </w:r>
      <w:proofErr w:type="spellEnd"/>
      <w:r w:rsidRPr="00C40B5B">
        <w:t xml:space="preserve"> disappearance </w:t>
      </w:r>
      <w:r w:rsidR="00D524D4" w:rsidRPr="00C40B5B">
        <w:t xml:space="preserve">was reported </w:t>
      </w:r>
      <w:r w:rsidRPr="00C40B5B">
        <w:t xml:space="preserve">to UNMIK </w:t>
      </w:r>
      <w:r w:rsidRPr="00C40B5B">
        <w:rPr>
          <w:bCs/>
          <w:iCs/>
        </w:rPr>
        <w:t xml:space="preserve">International Public Prosecutors in </w:t>
      </w:r>
      <w:proofErr w:type="spellStart"/>
      <w:r w:rsidRPr="00C40B5B">
        <w:rPr>
          <w:bCs/>
          <w:iCs/>
        </w:rPr>
        <w:t>Prishtin</w:t>
      </w:r>
      <w:proofErr w:type="spellEnd"/>
      <w:r w:rsidRPr="00C40B5B">
        <w:rPr>
          <w:bCs/>
          <w:iCs/>
          <w:lang w:val="ru-RU"/>
        </w:rPr>
        <w:t>ё</w:t>
      </w:r>
      <w:r w:rsidRPr="00C40B5B">
        <w:rPr>
          <w:bCs/>
          <w:iCs/>
        </w:rPr>
        <w:t xml:space="preserve">/Priština. </w:t>
      </w:r>
    </w:p>
    <w:p w:rsidR="005D7C33" w:rsidRPr="00C40B5B" w:rsidRDefault="005D7C33" w:rsidP="005D7C33">
      <w:pPr>
        <w:pStyle w:val="ListParagraph"/>
      </w:pPr>
    </w:p>
    <w:p w:rsidR="005D7C33" w:rsidRPr="00C40B5B" w:rsidRDefault="00820F3A" w:rsidP="00986939">
      <w:pPr>
        <w:numPr>
          <w:ilvl w:val="0"/>
          <w:numId w:val="12"/>
        </w:numPr>
        <w:jc w:val="both"/>
      </w:pPr>
      <w:r w:rsidRPr="00C40B5B">
        <w:t xml:space="preserve">Mr </w:t>
      </w:r>
      <w:proofErr w:type="spellStart"/>
      <w:r w:rsidRPr="00C40B5B">
        <w:t>Svetozar</w:t>
      </w:r>
      <w:proofErr w:type="spellEnd"/>
      <w:r w:rsidRPr="00C40B5B">
        <w:t xml:space="preserve"> </w:t>
      </w:r>
      <w:proofErr w:type="spellStart"/>
      <w:r w:rsidRPr="00C40B5B">
        <w:t>Tomić</w:t>
      </w:r>
      <w:proofErr w:type="spellEnd"/>
      <w:r w:rsidRPr="00C40B5B">
        <w:t xml:space="preserve"> was listed as a missing person in a communication from the ICRC to UNMIK dated 12 October 2001, and in the database maintained by the UNMIK OMPF</w:t>
      </w:r>
      <w:r w:rsidR="005D7C33" w:rsidRPr="00C40B5B">
        <w:rPr>
          <w:rStyle w:val="FootnoteReference"/>
          <w:bCs/>
        </w:rPr>
        <w:footnoteReference w:id="3"/>
      </w:r>
      <w:r w:rsidRPr="00C40B5B">
        <w:t xml:space="preserve">. </w:t>
      </w:r>
      <w:r w:rsidR="005D7C33" w:rsidRPr="00C40B5B">
        <w:t xml:space="preserve">The entry in relation to Mr </w:t>
      </w:r>
      <w:proofErr w:type="spellStart"/>
      <w:r w:rsidR="005D7C33" w:rsidRPr="00C40B5B">
        <w:t>Svetozar</w:t>
      </w:r>
      <w:proofErr w:type="spellEnd"/>
      <w:r w:rsidR="005D7C33" w:rsidRPr="00C40B5B">
        <w:t xml:space="preserve"> </w:t>
      </w:r>
      <w:proofErr w:type="spellStart"/>
      <w:r w:rsidR="005D7C33" w:rsidRPr="00C40B5B">
        <w:t>Tomić</w:t>
      </w:r>
      <w:proofErr w:type="spellEnd"/>
      <w:r w:rsidR="005D7C33" w:rsidRPr="00C40B5B">
        <w:rPr>
          <w:bCs/>
        </w:rPr>
        <w:t xml:space="preserve"> in the </w:t>
      </w:r>
      <w:r w:rsidR="005D7C33" w:rsidRPr="00C40B5B">
        <w:t>online database maintained by the ICMP</w:t>
      </w:r>
      <w:r w:rsidR="005D7C33" w:rsidRPr="00C40B5B">
        <w:rPr>
          <w:vertAlign w:val="superscript"/>
        </w:rPr>
        <w:footnoteReference w:id="4"/>
      </w:r>
      <w:r w:rsidR="005D7C33" w:rsidRPr="00C40B5B">
        <w:t xml:space="preserve"> reads in relevant fields: “Sufficient Reference Samples Collected” and “</w:t>
      </w:r>
      <w:r w:rsidR="005D7C33" w:rsidRPr="00C40B5B">
        <w:rPr>
          <w:bCs/>
          <w:shd w:val="clear" w:color="auto" w:fill="FFFFFF"/>
        </w:rPr>
        <w:t>ICMP</w:t>
      </w:r>
      <w:r w:rsidR="005D7C33" w:rsidRPr="00C40B5B">
        <w:rPr>
          <w:rStyle w:val="apple-converted-space"/>
          <w:shd w:val="clear" w:color="auto" w:fill="FFFFFF"/>
        </w:rPr>
        <w:t> </w:t>
      </w:r>
      <w:r w:rsidR="005D7C33" w:rsidRPr="00C40B5B">
        <w:rPr>
          <w:shd w:val="clear" w:color="auto" w:fill="FFFFFF"/>
        </w:rPr>
        <w:t>has provided information on this missing person on</w:t>
      </w:r>
      <w:r w:rsidR="005D7C33" w:rsidRPr="00C40B5B">
        <w:rPr>
          <w:rStyle w:val="apple-converted-space"/>
          <w:shd w:val="clear" w:color="auto" w:fill="FFFFFF"/>
        </w:rPr>
        <w:t> </w:t>
      </w:r>
      <w:r w:rsidR="005D7C33" w:rsidRPr="00C40B5B">
        <w:rPr>
          <w:rStyle w:val="Strong"/>
          <w:b w:val="0"/>
          <w:shd w:val="clear" w:color="auto" w:fill="FFFFFF"/>
        </w:rPr>
        <w:t>11-10-2004</w:t>
      </w:r>
      <w:r w:rsidR="005D7C33" w:rsidRPr="00C40B5B">
        <w:rPr>
          <w:rStyle w:val="apple-converted-space"/>
          <w:shd w:val="clear" w:color="auto" w:fill="FFFFFF"/>
        </w:rPr>
        <w:t> </w:t>
      </w:r>
      <w:r w:rsidR="005D7C33" w:rsidRPr="00C40B5B">
        <w:rPr>
          <w:shd w:val="clear" w:color="auto" w:fill="FFFFFF"/>
        </w:rPr>
        <w:t>to authorized institution.</w:t>
      </w:r>
      <w:r w:rsidR="005D7C33" w:rsidRPr="00C40B5B">
        <w:t xml:space="preserve"> </w:t>
      </w:r>
      <w:r w:rsidR="005D7C33" w:rsidRPr="00C40B5B">
        <w:rPr>
          <w:shd w:val="clear" w:color="auto" w:fill="FFFFFF"/>
        </w:rPr>
        <w:t>To obtain additional information, contact</w:t>
      </w:r>
      <w:r w:rsidR="005D7C33" w:rsidRPr="00C40B5B">
        <w:rPr>
          <w:rStyle w:val="apple-converted-space"/>
          <w:shd w:val="clear" w:color="auto" w:fill="FFFFFF"/>
        </w:rPr>
        <w:t> </w:t>
      </w:r>
      <w:r w:rsidR="005D7C33" w:rsidRPr="00C40B5B">
        <w:rPr>
          <w:rStyle w:val="Strong"/>
          <w:b w:val="0"/>
          <w:shd w:val="clear" w:color="auto" w:fill="FFFFFF"/>
        </w:rPr>
        <w:t>EULEX Kosovo Headquarters</w:t>
      </w:r>
      <w:r w:rsidR="005D7C33" w:rsidRPr="00C40B5B">
        <w:rPr>
          <w:b/>
          <w:shd w:val="clear" w:color="auto" w:fill="FFFFFF"/>
        </w:rPr>
        <w:t>.</w:t>
      </w:r>
      <w:r w:rsidR="005D7C33" w:rsidRPr="00C40B5B">
        <w:t>”</w:t>
      </w:r>
      <w:r w:rsidR="005D7C33" w:rsidRPr="00C40B5B">
        <w:rPr>
          <w:bCs/>
        </w:rPr>
        <w:t xml:space="preserve"> </w:t>
      </w:r>
    </w:p>
    <w:p w:rsidR="00820F3A" w:rsidRPr="00C40B5B" w:rsidRDefault="00820F3A" w:rsidP="00820F3A">
      <w:pPr>
        <w:jc w:val="both"/>
      </w:pPr>
    </w:p>
    <w:p w:rsidR="00820F3A" w:rsidRPr="00C40B5B" w:rsidRDefault="00820F3A" w:rsidP="00986939">
      <w:pPr>
        <w:numPr>
          <w:ilvl w:val="0"/>
          <w:numId w:val="12"/>
        </w:numPr>
        <w:jc w:val="both"/>
      </w:pPr>
      <w:r w:rsidRPr="00C40B5B">
        <w:t xml:space="preserve">On 01 December 2006, the mortal remains of Mr </w:t>
      </w:r>
      <w:proofErr w:type="spellStart"/>
      <w:r w:rsidRPr="00C40B5B">
        <w:t>Tomić</w:t>
      </w:r>
      <w:proofErr w:type="spellEnd"/>
      <w:r w:rsidRPr="00C40B5B">
        <w:t xml:space="preserve"> were handed over to his family by the UNMIK OMPF. A copy of the death certificate dated 1 December 2006 </w:t>
      </w:r>
      <w:proofErr w:type="gramStart"/>
      <w:r w:rsidRPr="00C40B5B">
        <w:t>states</w:t>
      </w:r>
      <w:proofErr w:type="gramEnd"/>
      <w:r w:rsidRPr="00C40B5B">
        <w:t xml:space="preserve"> that the cause of death was not ascertained. </w:t>
      </w:r>
    </w:p>
    <w:p w:rsidR="00820F3A" w:rsidRPr="00C40B5B" w:rsidRDefault="00820F3A" w:rsidP="00820F3A">
      <w:pPr>
        <w:jc w:val="both"/>
      </w:pPr>
    </w:p>
    <w:p w:rsidR="00820F3A" w:rsidRPr="00C40B5B" w:rsidRDefault="00820F3A" w:rsidP="00820F3A">
      <w:pPr>
        <w:pStyle w:val="ListParagraph"/>
        <w:rPr>
          <w:sz w:val="23"/>
          <w:szCs w:val="23"/>
        </w:rPr>
      </w:pPr>
    </w:p>
    <w:p w:rsidR="00594F5E" w:rsidRPr="00C40B5B" w:rsidRDefault="00594F5E" w:rsidP="00594F5E">
      <w:r w:rsidRPr="00C40B5B">
        <w:rPr>
          <w:b/>
        </w:rPr>
        <w:t>C.  The investigation</w:t>
      </w:r>
    </w:p>
    <w:p w:rsidR="00594F5E" w:rsidRPr="00C40B5B" w:rsidRDefault="00594F5E" w:rsidP="00594F5E">
      <w:pPr>
        <w:pStyle w:val="ListParagraph"/>
        <w:jc w:val="both"/>
        <w:rPr>
          <w:i/>
        </w:rPr>
      </w:pPr>
    </w:p>
    <w:p w:rsidR="00594F5E" w:rsidRPr="00C40B5B" w:rsidRDefault="00594F5E" w:rsidP="00594F5E">
      <w:pPr>
        <w:pStyle w:val="ListParagraph"/>
        <w:numPr>
          <w:ilvl w:val="0"/>
          <w:numId w:val="9"/>
        </w:numPr>
        <w:ind w:left="360"/>
        <w:jc w:val="both"/>
        <w:rPr>
          <w:i/>
        </w:rPr>
      </w:pPr>
      <w:r w:rsidRPr="00C40B5B">
        <w:rPr>
          <w:i/>
        </w:rPr>
        <w:t>Disclosure of relevant files</w:t>
      </w:r>
    </w:p>
    <w:p w:rsidR="00594F5E" w:rsidRPr="00C40B5B" w:rsidRDefault="00594F5E" w:rsidP="004D13F9">
      <w:pPr>
        <w:jc w:val="both"/>
        <w:rPr>
          <w:lang w:eastAsia="nl-NL"/>
        </w:rPr>
      </w:pPr>
    </w:p>
    <w:p w:rsidR="00594F5E" w:rsidRPr="00C40B5B" w:rsidRDefault="00594F5E" w:rsidP="00594F5E">
      <w:pPr>
        <w:pStyle w:val="ListParagraph"/>
        <w:numPr>
          <w:ilvl w:val="0"/>
          <w:numId w:val="12"/>
        </w:numPr>
        <w:jc w:val="both"/>
        <w:rPr>
          <w:lang w:eastAsia="nl-NL"/>
        </w:rPr>
      </w:pPr>
      <w:r w:rsidRPr="00C40B5B">
        <w:rPr>
          <w:lang w:eastAsia="nl-NL"/>
        </w:rPr>
        <w:lastRenderedPageBreak/>
        <w:t>In the present case, the Panel received from UNMIK investigative documents pr</w:t>
      </w:r>
      <w:r w:rsidR="00584131" w:rsidRPr="00C40B5B">
        <w:rPr>
          <w:lang w:eastAsia="nl-NL"/>
        </w:rPr>
        <w:t>eviously held by the UNMIK OMPF</w:t>
      </w:r>
      <w:r w:rsidR="000414AF" w:rsidRPr="00C40B5B">
        <w:rPr>
          <w:lang w:eastAsia="nl-NL"/>
        </w:rPr>
        <w:t>, UNMIK Police (</w:t>
      </w:r>
      <w:r w:rsidR="00485084" w:rsidRPr="00C40B5B">
        <w:rPr>
          <w:lang w:eastAsia="nl-NL"/>
        </w:rPr>
        <w:t>MPU and the WCIU</w:t>
      </w:r>
      <w:r w:rsidR="000414AF" w:rsidRPr="00C40B5B">
        <w:rPr>
          <w:lang w:eastAsia="nl-NL"/>
        </w:rPr>
        <w:t>)</w:t>
      </w:r>
      <w:r w:rsidR="00584131" w:rsidRPr="00C40B5B">
        <w:rPr>
          <w:lang w:eastAsia="nl-NL"/>
        </w:rPr>
        <w:t xml:space="preserve"> and EULEX</w:t>
      </w:r>
      <w:r w:rsidRPr="00C40B5B">
        <w:rPr>
          <w:lang w:eastAsia="nl-NL"/>
        </w:rPr>
        <w:t xml:space="preserve">. </w:t>
      </w:r>
    </w:p>
    <w:p w:rsidR="00594F5E" w:rsidRPr="00C40B5B" w:rsidRDefault="00594F5E" w:rsidP="00594F5E">
      <w:pPr>
        <w:pStyle w:val="ListParagraph"/>
        <w:ind w:left="360"/>
        <w:jc w:val="both"/>
        <w:rPr>
          <w:lang w:eastAsia="nl-NL"/>
        </w:rPr>
      </w:pPr>
    </w:p>
    <w:p w:rsidR="00594F5E" w:rsidRPr="00C40B5B" w:rsidRDefault="00594F5E" w:rsidP="00594F5E">
      <w:pPr>
        <w:pStyle w:val="ListParagraph"/>
        <w:numPr>
          <w:ilvl w:val="0"/>
          <w:numId w:val="12"/>
        </w:numPr>
        <w:suppressAutoHyphens w:val="0"/>
        <w:jc w:val="both"/>
        <w:rPr>
          <w:lang w:eastAsia="nl-NL"/>
        </w:rPr>
      </w:pPr>
      <w:r w:rsidRPr="00C40B5B">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F81E98" w:rsidRPr="00C40B5B" w:rsidRDefault="00F81E98" w:rsidP="00594F5E">
      <w:pPr>
        <w:jc w:val="both"/>
        <w:rPr>
          <w:i/>
        </w:rPr>
      </w:pPr>
      <w:bookmarkStart w:id="9" w:name="_Ref347322102"/>
      <w:bookmarkEnd w:id="8"/>
    </w:p>
    <w:p w:rsidR="00F81E98" w:rsidRPr="00C40B5B" w:rsidRDefault="00995D52" w:rsidP="00F81E98">
      <w:pPr>
        <w:pStyle w:val="ListParagraph"/>
        <w:numPr>
          <w:ilvl w:val="0"/>
          <w:numId w:val="9"/>
        </w:numPr>
        <w:ind w:left="360"/>
        <w:jc w:val="both"/>
        <w:rPr>
          <w:i/>
        </w:rPr>
      </w:pPr>
      <w:r w:rsidRPr="00C40B5B">
        <w:rPr>
          <w:i/>
        </w:rPr>
        <w:t xml:space="preserve">Investigation aimed at determining the whereabouts of Mr </w:t>
      </w:r>
      <w:proofErr w:type="spellStart"/>
      <w:r w:rsidR="00820F3A" w:rsidRPr="00C40B5B">
        <w:rPr>
          <w:i/>
        </w:rPr>
        <w:t>Svetozar</w:t>
      </w:r>
      <w:proofErr w:type="spellEnd"/>
      <w:r w:rsidR="00820F3A" w:rsidRPr="00C40B5B">
        <w:rPr>
          <w:i/>
        </w:rPr>
        <w:t xml:space="preserve"> </w:t>
      </w:r>
      <w:proofErr w:type="spellStart"/>
      <w:r w:rsidR="00820F3A" w:rsidRPr="00C40B5B">
        <w:rPr>
          <w:i/>
        </w:rPr>
        <w:t>Tomić</w:t>
      </w:r>
      <w:bookmarkStart w:id="10" w:name="_Ref390941453"/>
      <w:bookmarkStart w:id="11" w:name="_Ref379793268"/>
      <w:bookmarkStart w:id="12" w:name="_Ref387243421"/>
      <w:bookmarkStart w:id="13" w:name="_Ref389147442"/>
      <w:bookmarkEnd w:id="9"/>
      <w:proofErr w:type="spellEnd"/>
    </w:p>
    <w:p w:rsidR="00F81E98" w:rsidRPr="00C40B5B" w:rsidRDefault="00F81E98" w:rsidP="00594F5E">
      <w:pPr>
        <w:rPr>
          <w:lang w:eastAsia="nl-NL"/>
        </w:rPr>
      </w:pPr>
    </w:p>
    <w:p w:rsidR="00F669AC" w:rsidRPr="00C40B5B" w:rsidRDefault="00883115" w:rsidP="00F669AC">
      <w:pPr>
        <w:pStyle w:val="ListParagraph"/>
        <w:numPr>
          <w:ilvl w:val="0"/>
          <w:numId w:val="10"/>
        </w:numPr>
        <w:suppressAutoHyphens w:val="0"/>
        <w:jc w:val="both"/>
        <w:rPr>
          <w:lang w:eastAsia="nl-NL"/>
        </w:rPr>
      </w:pPr>
      <w:r w:rsidRPr="00C40B5B">
        <w:rPr>
          <w:lang w:eastAsia="nl-NL"/>
        </w:rPr>
        <w:t>According to an</w:t>
      </w:r>
      <w:r w:rsidR="00150C84" w:rsidRPr="00C40B5B">
        <w:rPr>
          <w:lang w:eastAsia="nl-NL"/>
        </w:rPr>
        <w:t xml:space="preserve"> OMPF autopsy report, dated 30 January 2004, mortal remains </w:t>
      </w:r>
      <w:r w:rsidRPr="00C40B5B">
        <w:rPr>
          <w:lang w:eastAsia="nl-NL"/>
        </w:rPr>
        <w:t xml:space="preserve">of unidentified individuals </w:t>
      </w:r>
      <w:r w:rsidR="00150C84" w:rsidRPr="00C40B5B">
        <w:rPr>
          <w:lang w:eastAsia="nl-NL"/>
        </w:rPr>
        <w:t xml:space="preserve">were exhumed by a British Forensic team in the Dragodan Cemetery in </w:t>
      </w:r>
      <w:r w:rsidR="002C2DB3" w:rsidRPr="00C40B5B">
        <w:rPr>
          <w:color w:val="000000"/>
        </w:rPr>
        <w:t>Prishtinë/Priština</w:t>
      </w:r>
      <w:r w:rsidR="002C2DB3" w:rsidRPr="00C40B5B">
        <w:rPr>
          <w:lang w:eastAsia="nl-NL"/>
        </w:rPr>
        <w:t xml:space="preserve"> </w:t>
      </w:r>
      <w:r w:rsidR="00150C84" w:rsidRPr="00C40B5B">
        <w:rPr>
          <w:lang w:eastAsia="nl-NL"/>
        </w:rPr>
        <w:t>on 24 May 2000.</w:t>
      </w:r>
      <w:r w:rsidR="005E4C09" w:rsidRPr="00C40B5B">
        <w:rPr>
          <w:lang w:eastAsia="nl-NL"/>
        </w:rPr>
        <w:t xml:space="preserve"> A copy of a report by th</w:t>
      </w:r>
      <w:r w:rsidR="00BB2F61" w:rsidRPr="00C40B5B">
        <w:rPr>
          <w:lang w:eastAsia="nl-NL"/>
        </w:rPr>
        <w:t xml:space="preserve">e forensic team, </w:t>
      </w:r>
      <w:r w:rsidR="006566E7" w:rsidRPr="00C40B5B">
        <w:rPr>
          <w:lang w:eastAsia="nl-NL"/>
        </w:rPr>
        <w:t>en</w:t>
      </w:r>
      <w:r w:rsidR="00BB2F61" w:rsidRPr="00C40B5B">
        <w:rPr>
          <w:lang w:eastAsia="nl-NL"/>
        </w:rPr>
        <w:t>titled “</w:t>
      </w:r>
      <w:proofErr w:type="spellStart"/>
      <w:r w:rsidR="00BB2F61" w:rsidRPr="00C40B5B">
        <w:rPr>
          <w:lang w:eastAsia="nl-NL"/>
        </w:rPr>
        <w:t>Sitelo</w:t>
      </w:r>
      <w:r w:rsidR="005E4C09" w:rsidRPr="00C40B5B">
        <w:rPr>
          <w:lang w:eastAsia="nl-NL"/>
        </w:rPr>
        <w:t>g</w:t>
      </w:r>
      <w:proofErr w:type="spellEnd"/>
      <w:r w:rsidR="005E4C09" w:rsidRPr="00C40B5B">
        <w:rPr>
          <w:lang w:eastAsia="nl-NL"/>
        </w:rPr>
        <w:t xml:space="preserve"> for Dragodan Cemetery” was also attached to the autopsy report</w:t>
      </w:r>
      <w:r w:rsidR="006566E7" w:rsidRPr="00C40B5B">
        <w:rPr>
          <w:lang w:eastAsia="nl-NL"/>
        </w:rPr>
        <w:t>, which</w:t>
      </w:r>
      <w:r w:rsidR="005E4C09" w:rsidRPr="00C40B5B">
        <w:rPr>
          <w:lang w:eastAsia="nl-NL"/>
        </w:rPr>
        <w:t xml:space="preserve"> indicate</w:t>
      </w:r>
      <w:r w:rsidR="006566E7" w:rsidRPr="00C40B5B">
        <w:rPr>
          <w:lang w:eastAsia="nl-NL"/>
        </w:rPr>
        <w:t>s</w:t>
      </w:r>
      <w:r w:rsidR="005E4C09" w:rsidRPr="00C40B5B">
        <w:rPr>
          <w:lang w:eastAsia="nl-NL"/>
        </w:rPr>
        <w:t xml:space="preserve"> that t</w:t>
      </w:r>
      <w:r w:rsidR="00150C84" w:rsidRPr="00C40B5B">
        <w:rPr>
          <w:lang w:eastAsia="nl-NL"/>
        </w:rPr>
        <w:t xml:space="preserve">he remains </w:t>
      </w:r>
      <w:r w:rsidR="005E4C09" w:rsidRPr="00C40B5B">
        <w:rPr>
          <w:lang w:eastAsia="nl-NL"/>
        </w:rPr>
        <w:t xml:space="preserve">of </w:t>
      </w:r>
      <w:r w:rsidR="00F669AC" w:rsidRPr="00C40B5B">
        <w:rPr>
          <w:lang w:eastAsia="nl-NL"/>
        </w:rPr>
        <w:t xml:space="preserve">several </w:t>
      </w:r>
      <w:r w:rsidR="005E4C09" w:rsidRPr="00C40B5B">
        <w:rPr>
          <w:lang w:eastAsia="nl-NL"/>
        </w:rPr>
        <w:t xml:space="preserve">individuals were located </w:t>
      </w:r>
      <w:r w:rsidR="00150C84" w:rsidRPr="00C40B5B">
        <w:rPr>
          <w:lang w:eastAsia="nl-NL"/>
        </w:rPr>
        <w:t>in a shallow grave</w:t>
      </w:r>
      <w:r w:rsidR="00534880" w:rsidRPr="00C40B5B">
        <w:rPr>
          <w:lang w:eastAsia="nl-NL"/>
        </w:rPr>
        <w:t xml:space="preserve"> at the site. </w:t>
      </w:r>
      <w:r w:rsidR="00F81E98" w:rsidRPr="00C40B5B">
        <w:rPr>
          <w:lang w:eastAsia="nl-NL"/>
        </w:rPr>
        <w:t>According to the OMPF documents included in the file, the mortal remains of an unknown person</w:t>
      </w:r>
      <w:r w:rsidR="00F669AC" w:rsidRPr="00C40B5B">
        <w:rPr>
          <w:lang w:eastAsia="nl-NL"/>
        </w:rPr>
        <w:t>, numbered JA32/004BP</w:t>
      </w:r>
      <w:r w:rsidR="00F81E98" w:rsidRPr="00C40B5B">
        <w:rPr>
          <w:lang w:eastAsia="nl-NL"/>
        </w:rPr>
        <w:t xml:space="preserve">, later identified as Mr </w:t>
      </w:r>
      <w:proofErr w:type="spellStart"/>
      <w:r w:rsidR="00820F3A" w:rsidRPr="00C40B5B">
        <w:rPr>
          <w:lang w:eastAsia="nl-NL"/>
        </w:rPr>
        <w:t>Svetozar</w:t>
      </w:r>
      <w:proofErr w:type="spellEnd"/>
      <w:r w:rsidR="00820F3A" w:rsidRPr="00C40B5B">
        <w:rPr>
          <w:lang w:eastAsia="nl-NL"/>
        </w:rPr>
        <w:t xml:space="preserve"> </w:t>
      </w:r>
      <w:proofErr w:type="spellStart"/>
      <w:r w:rsidR="00820F3A" w:rsidRPr="00C40B5B">
        <w:rPr>
          <w:lang w:eastAsia="nl-NL"/>
        </w:rPr>
        <w:t>Tomić</w:t>
      </w:r>
      <w:proofErr w:type="spellEnd"/>
      <w:r w:rsidR="00F81E98" w:rsidRPr="00C40B5B">
        <w:t xml:space="preserve">, were </w:t>
      </w:r>
      <w:r w:rsidR="00534880" w:rsidRPr="00C40B5B">
        <w:t>found in a blue body bag</w:t>
      </w:r>
      <w:r w:rsidR="00F81E98" w:rsidRPr="00C40B5B">
        <w:t xml:space="preserve">. </w:t>
      </w:r>
      <w:r w:rsidR="00B93046" w:rsidRPr="00C40B5B">
        <w:t>Moreover, the report states that those mortal remains were probably associated with other mortal remains found at the same site</w:t>
      </w:r>
      <w:r w:rsidR="00485084" w:rsidRPr="00C40B5B">
        <w:t xml:space="preserve"> which had </w:t>
      </w:r>
      <w:r w:rsidR="00B93046" w:rsidRPr="00C40B5B">
        <w:t xml:space="preserve">possible blast or bullet injuries. </w:t>
      </w:r>
      <w:r w:rsidR="006566E7" w:rsidRPr="00C40B5B">
        <w:t>T</w:t>
      </w:r>
      <w:r w:rsidR="00FE5D4A" w:rsidRPr="00C40B5B">
        <w:t>he report</w:t>
      </w:r>
      <w:r w:rsidR="00B93046" w:rsidRPr="00C40B5B">
        <w:t xml:space="preserve"> </w:t>
      </w:r>
      <w:r w:rsidR="006566E7" w:rsidRPr="00C40B5B">
        <w:t xml:space="preserve">also </w:t>
      </w:r>
      <w:r w:rsidR="00B93046" w:rsidRPr="00C40B5B">
        <w:t>indicate</w:t>
      </w:r>
      <w:r w:rsidR="00FE5D4A" w:rsidRPr="00C40B5B">
        <w:t>s</w:t>
      </w:r>
      <w:r w:rsidR="00B93046" w:rsidRPr="00C40B5B">
        <w:t xml:space="preserve"> that the mortal remains had been subject to a previous post-mortem examination</w:t>
      </w:r>
      <w:r w:rsidR="006566E7" w:rsidRPr="00C40B5B">
        <w:t>,</w:t>
      </w:r>
      <w:r w:rsidR="00F669AC" w:rsidRPr="00C40B5B">
        <w:t xml:space="preserve"> including the collection of DNA samples</w:t>
      </w:r>
      <w:r w:rsidR="00B93046" w:rsidRPr="00C40B5B">
        <w:t xml:space="preserve">. </w:t>
      </w:r>
      <w:r w:rsidR="00F669AC" w:rsidRPr="00C40B5B">
        <w:t>The medical doctor stated in the report “It is my determination that the cause of death in the case number JA32/004BP was DNA sample 47 – gunshot to the chest (the rest – the cause of death – is unascertained)”.</w:t>
      </w:r>
      <w:r w:rsidR="00F81E98" w:rsidRPr="00C40B5B">
        <w:t xml:space="preserve"> </w:t>
      </w:r>
    </w:p>
    <w:p w:rsidR="002235E4" w:rsidRPr="00C40B5B" w:rsidRDefault="002235E4" w:rsidP="002235E4">
      <w:pPr>
        <w:pStyle w:val="ListParagraph"/>
        <w:suppressAutoHyphens w:val="0"/>
        <w:ind w:left="360"/>
        <w:jc w:val="both"/>
        <w:rPr>
          <w:lang w:eastAsia="nl-NL"/>
        </w:rPr>
      </w:pPr>
    </w:p>
    <w:p w:rsidR="005554FB" w:rsidRPr="00C40B5B" w:rsidRDefault="00881B32" w:rsidP="005554FB">
      <w:pPr>
        <w:pStyle w:val="ListParagraph"/>
        <w:numPr>
          <w:ilvl w:val="0"/>
          <w:numId w:val="10"/>
        </w:numPr>
        <w:suppressAutoHyphens w:val="0"/>
        <w:jc w:val="both"/>
        <w:rPr>
          <w:lang w:eastAsia="nl-NL"/>
        </w:rPr>
      </w:pPr>
      <w:r w:rsidRPr="00C40B5B">
        <w:rPr>
          <w:lang w:eastAsia="nl-NL"/>
        </w:rPr>
        <w:t>The file</w:t>
      </w:r>
      <w:r w:rsidR="00485084" w:rsidRPr="00C40B5B">
        <w:rPr>
          <w:lang w:eastAsia="nl-NL"/>
        </w:rPr>
        <w:t xml:space="preserve"> contains an Ante</w:t>
      </w:r>
      <w:r w:rsidR="005554FB" w:rsidRPr="00C40B5B">
        <w:rPr>
          <w:lang w:eastAsia="nl-NL"/>
        </w:rPr>
        <w:t xml:space="preserve"> Mortem Investigation Report of </w:t>
      </w:r>
      <w:r w:rsidRPr="00C40B5B">
        <w:rPr>
          <w:lang w:eastAsia="nl-NL"/>
        </w:rPr>
        <w:t>the WCU Missing Person Section, d</w:t>
      </w:r>
      <w:r w:rsidR="005554FB" w:rsidRPr="00C40B5B">
        <w:rPr>
          <w:lang w:eastAsia="nl-NL"/>
        </w:rPr>
        <w:t>ated 16 December 2</w:t>
      </w:r>
      <w:r w:rsidR="00371F95" w:rsidRPr="00C40B5B">
        <w:rPr>
          <w:lang w:eastAsia="nl-NL"/>
        </w:rPr>
        <w:t>00</w:t>
      </w:r>
      <w:r w:rsidR="005554FB" w:rsidRPr="00C40B5B">
        <w:rPr>
          <w:lang w:eastAsia="nl-NL"/>
        </w:rPr>
        <w:t xml:space="preserve">4. The report states that an MPU file </w:t>
      </w:r>
      <w:r w:rsidR="00E75855" w:rsidRPr="00C40B5B">
        <w:rPr>
          <w:lang w:eastAsia="nl-NL"/>
        </w:rPr>
        <w:t>on</w:t>
      </w:r>
      <w:r w:rsidR="00851EEA" w:rsidRPr="00C40B5B">
        <w:rPr>
          <w:lang w:eastAsia="nl-NL"/>
        </w:rPr>
        <w:t xml:space="preserve"> Mr </w:t>
      </w:r>
      <w:proofErr w:type="spellStart"/>
      <w:r w:rsidR="00851EEA" w:rsidRPr="00C40B5B">
        <w:rPr>
          <w:lang w:eastAsia="nl-NL"/>
        </w:rPr>
        <w:t>Sve</w:t>
      </w:r>
      <w:r w:rsidR="00817FBA" w:rsidRPr="00C40B5B">
        <w:rPr>
          <w:lang w:eastAsia="nl-NL"/>
        </w:rPr>
        <w:t>t</w:t>
      </w:r>
      <w:r w:rsidR="00851EEA" w:rsidRPr="00C40B5B">
        <w:rPr>
          <w:lang w:eastAsia="nl-NL"/>
        </w:rPr>
        <w:t>ozar</w:t>
      </w:r>
      <w:proofErr w:type="spellEnd"/>
      <w:r w:rsidR="00851EEA" w:rsidRPr="00C40B5B">
        <w:rPr>
          <w:lang w:eastAsia="nl-NL"/>
        </w:rPr>
        <w:t xml:space="preserve"> </w:t>
      </w:r>
      <w:proofErr w:type="spellStart"/>
      <w:r w:rsidR="007E1DB1" w:rsidRPr="00C40B5B">
        <w:rPr>
          <w:lang w:eastAsia="nl-NL"/>
        </w:rPr>
        <w:t>Tomić</w:t>
      </w:r>
      <w:proofErr w:type="spellEnd"/>
      <w:r w:rsidR="00851EEA" w:rsidRPr="00C40B5B">
        <w:rPr>
          <w:lang w:eastAsia="nl-NL"/>
        </w:rPr>
        <w:t xml:space="preserve"> was </w:t>
      </w:r>
      <w:r w:rsidR="005554FB" w:rsidRPr="00C40B5B">
        <w:rPr>
          <w:lang w:eastAsia="nl-NL"/>
        </w:rPr>
        <w:t xml:space="preserve">opened on 09 June 2002. The report </w:t>
      </w:r>
      <w:r w:rsidR="006566E7" w:rsidRPr="00C40B5B">
        <w:rPr>
          <w:lang w:eastAsia="nl-NL"/>
        </w:rPr>
        <w:t xml:space="preserve">concludes </w:t>
      </w:r>
      <w:r w:rsidR="005554FB" w:rsidRPr="00C40B5B">
        <w:rPr>
          <w:lang w:eastAsia="nl-NL"/>
        </w:rPr>
        <w:t>that “After investigations, it’s impossible at this time to find an impartial witness around the place event. No information leading to a possible MP’s location. This case should remain open pending within the WCU.</w:t>
      </w:r>
      <w:r w:rsidR="00485084" w:rsidRPr="00C40B5B">
        <w:rPr>
          <w:lang w:eastAsia="nl-NL"/>
        </w:rPr>
        <w:t>”</w:t>
      </w:r>
    </w:p>
    <w:p w:rsidR="00D00D7E" w:rsidRPr="00C40B5B" w:rsidRDefault="00D00D7E" w:rsidP="00D00D7E">
      <w:pPr>
        <w:pStyle w:val="ListParagraph"/>
        <w:suppressAutoHyphens w:val="0"/>
        <w:ind w:left="360"/>
        <w:jc w:val="both"/>
        <w:rPr>
          <w:lang w:eastAsia="nl-NL"/>
        </w:rPr>
      </w:pPr>
    </w:p>
    <w:p w:rsidR="003271F7" w:rsidRPr="00C40B5B" w:rsidRDefault="00D00D7E" w:rsidP="00F81E98">
      <w:pPr>
        <w:pStyle w:val="ListParagraph"/>
        <w:numPr>
          <w:ilvl w:val="0"/>
          <w:numId w:val="10"/>
        </w:numPr>
        <w:suppressAutoHyphens w:val="0"/>
        <w:jc w:val="both"/>
        <w:rPr>
          <w:lang w:eastAsia="nl-NL"/>
        </w:rPr>
      </w:pPr>
      <w:r w:rsidRPr="00C40B5B">
        <w:rPr>
          <w:lang w:eastAsia="nl-NL"/>
        </w:rPr>
        <w:t>The file contains an UNMIK OMPF/DOJ Confirmation of Identity Certificate, dated 12 October 2005</w:t>
      </w:r>
      <w:r w:rsidR="006566E7" w:rsidRPr="00C40B5B">
        <w:rPr>
          <w:lang w:eastAsia="nl-NL"/>
        </w:rPr>
        <w:t xml:space="preserve">. This </w:t>
      </w:r>
      <w:r w:rsidRPr="00C40B5B">
        <w:rPr>
          <w:lang w:eastAsia="nl-NL"/>
        </w:rPr>
        <w:t xml:space="preserve">states that UNMIK </w:t>
      </w:r>
      <w:r w:rsidR="006566E7" w:rsidRPr="00C40B5B">
        <w:rPr>
          <w:lang w:eastAsia="nl-NL"/>
        </w:rPr>
        <w:t xml:space="preserve">had </w:t>
      </w:r>
      <w:r w:rsidRPr="00C40B5B">
        <w:rPr>
          <w:lang w:eastAsia="nl-NL"/>
        </w:rPr>
        <w:t>compared the ante</w:t>
      </w:r>
      <w:r w:rsidR="006566E7" w:rsidRPr="00C40B5B">
        <w:rPr>
          <w:lang w:eastAsia="nl-NL"/>
        </w:rPr>
        <w:t>-</w:t>
      </w:r>
      <w:r w:rsidRPr="00C40B5B">
        <w:rPr>
          <w:lang w:eastAsia="nl-NL"/>
        </w:rPr>
        <w:t>mortem and post</w:t>
      </w:r>
      <w:r w:rsidR="006566E7" w:rsidRPr="00C40B5B">
        <w:rPr>
          <w:lang w:eastAsia="nl-NL"/>
        </w:rPr>
        <w:t>-</w:t>
      </w:r>
      <w:r w:rsidRPr="00C40B5B">
        <w:rPr>
          <w:lang w:eastAsia="nl-NL"/>
        </w:rPr>
        <w:t xml:space="preserve">mortem information, which corroborated </w:t>
      </w:r>
      <w:r w:rsidR="006566E7" w:rsidRPr="00C40B5B">
        <w:rPr>
          <w:lang w:eastAsia="nl-NL"/>
        </w:rPr>
        <w:t xml:space="preserve">the </w:t>
      </w:r>
      <w:r w:rsidRPr="00C40B5B">
        <w:rPr>
          <w:lang w:eastAsia="nl-NL"/>
        </w:rPr>
        <w:t>DNA-analysis results provided by the ICMP a year earlier in a report which</w:t>
      </w:r>
      <w:r w:rsidR="008D52AF" w:rsidRPr="00C40B5B">
        <w:rPr>
          <w:lang w:eastAsia="nl-NL"/>
        </w:rPr>
        <w:t xml:space="preserve"> is</w:t>
      </w:r>
      <w:r w:rsidRPr="00C40B5B">
        <w:rPr>
          <w:lang w:eastAsia="nl-NL"/>
        </w:rPr>
        <w:t xml:space="preserve"> included with the file and dated 11 March 2004. That </w:t>
      </w:r>
      <w:r w:rsidR="00803AE4" w:rsidRPr="00C40B5B">
        <w:rPr>
          <w:lang w:eastAsia="nl-NL"/>
        </w:rPr>
        <w:t xml:space="preserve">ICMP </w:t>
      </w:r>
      <w:r w:rsidRPr="00C40B5B">
        <w:rPr>
          <w:lang w:eastAsia="nl-NL"/>
        </w:rPr>
        <w:t xml:space="preserve">report identified the mortal remains as </w:t>
      </w:r>
      <w:r w:rsidR="007D7435" w:rsidRPr="00C40B5B">
        <w:rPr>
          <w:lang w:eastAsia="nl-NL"/>
        </w:rPr>
        <w:t>those of</w:t>
      </w:r>
      <w:r w:rsidRPr="00C40B5B">
        <w:rPr>
          <w:lang w:eastAsia="nl-NL"/>
        </w:rPr>
        <w:t xml:space="preserve"> </w:t>
      </w:r>
      <w:r w:rsidR="00451E17" w:rsidRPr="00C40B5B">
        <w:rPr>
          <w:lang w:eastAsia="nl-NL"/>
        </w:rPr>
        <w:t>Mr</w:t>
      </w:r>
      <w:r w:rsidRPr="00C40B5B">
        <w:rPr>
          <w:lang w:eastAsia="nl-NL"/>
        </w:rPr>
        <w:t xml:space="preserve"> </w:t>
      </w:r>
      <w:proofErr w:type="spellStart"/>
      <w:r w:rsidR="0001025A" w:rsidRPr="00C40B5B">
        <w:rPr>
          <w:lang w:eastAsia="nl-NL"/>
        </w:rPr>
        <w:t>Tomić</w:t>
      </w:r>
      <w:proofErr w:type="spellEnd"/>
      <w:r w:rsidRPr="00C40B5B">
        <w:rPr>
          <w:lang w:eastAsia="nl-NL"/>
        </w:rPr>
        <w:t>.</w:t>
      </w:r>
    </w:p>
    <w:p w:rsidR="003271F7" w:rsidRPr="00C40B5B" w:rsidRDefault="003271F7" w:rsidP="00803AE4">
      <w:pPr>
        <w:rPr>
          <w:lang w:eastAsia="nl-NL"/>
        </w:rPr>
      </w:pPr>
    </w:p>
    <w:p w:rsidR="00D67F4F" w:rsidRPr="00C40B5B" w:rsidRDefault="00193D1A" w:rsidP="00193D1A">
      <w:pPr>
        <w:pStyle w:val="ListParagraph"/>
        <w:numPr>
          <w:ilvl w:val="0"/>
          <w:numId w:val="10"/>
        </w:numPr>
        <w:suppressAutoHyphens w:val="0"/>
        <w:jc w:val="both"/>
        <w:rPr>
          <w:lang w:eastAsia="nl-NL"/>
        </w:rPr>
      </w:pPr>
      <w:r w:rsidRPr="00C40B5B">
        <w:rPr>
          <w:lang w:eastAsia="nl-NL"/>
        </w:rPr>
        <w:t xml:space="preserve">The file also contains a Death </w:t>
      </w:r>
      <w:proofErr w:type="gramStart"/>
      <w:r w:rsidRPr="00C40B5B">
        <w:rPr>
          <w:lang w:eastAsia="nl-NL"/>
        </w:rPr>
        <w:t>Certificate,</w:t>
      </w:r>
      <w:proofErr w:type="gramEnd"/>
      <w:r w:rsidRPr="00C40B5B">
        <w:rPr>
          <w:lang w:eastAsia="nl-NL"/>
        </w:rPr>
        <w:t xml:space="preserve"> issued by the UNMIK </w:t>
      </w:r>
      <w:r w:rsidR="006566E7" w:rsidRPr="00C40B5B">
        <w:rPr>
          <w:lang w:eastAsia="nl-NL"/>
        </w:rPr>
        <w:t>DOJ</w:t>
      </w:r>
      <w:r w:rsidRPr="00C40B5B">
        <w:rPr>
          <w:lang w:eastAsia="nl-NL"/>
        </w:rPr>
        <w:t xml:space="preserve">, dated 12 October </w:t>
      </w:r>
      <w:smartTag w:uri="urn:schemas-microsoft-com:office:smarttags" w:element="metricconverter">
        <w:smartTagPr>
          <w:attr w:name="ProductID" w:val="2005, in"/>
        </w:smartTagPr>
        <w:r w:rsidRPr="00C40B5B">
          <w:rPr>
            <w:lang w:eastAsia="nl-NL"/>
          </w:rPr>
          <w:t>2005, in</w:t>
        </w:r>
      </w:smartTag>
      <w:r w:rsidRPr="00C40B5B">
        <w:rPr>
          <w:lang w:eastAsia="nl-NL"/>
        </w:rPr>
        <w:t xml:space="preserve"> the name of </w:t>
      </w:r>
      <w:proofErr w:type="spellStart"/>
      <w:r w:rsidR="0001025A" w:rsidRPr="00C40B5B">
        <w:rPr>
          <w:lang w:eastAsia="nl-NL"/>
        </w:rPr>
        <w:t>Tomić</w:t>
      </w:r>
      <w:proofErr w:type="spellEnd"/>
      <w:r w:rsidRPr="00C40B5B">
        <w:rPr>
          <w:lang w:eastAsia="nl-NL"/>
        </w:rPr>
        <w:t xml:space="preserve"> </w:t>
      </w:r>
      <w:proofErr w:type="spellStart"/>
      <w:r w:rsidRPr="00C40B5B">
        <w:rPr>
          <w:lang w:eastAsia="nl-NL"/>
        </w:rPr>
        <w:t>Svetozar</w:t>
      </w:r>
      <w:proofErr w:type="spellEnd"/>
      <w:r w:rsidRPr="00C40B5B">
        <w:rPr>
          <w:lang w:eastAsia="nl-NL"/>
        </w:rPr>
        <w:t xml:space="preserve"> with the ICTY case number </w:t>
      </w:r>
      <w:r w:rsidR="00851EEA" w:rsidRPr="00C40B5B">
        <w:rPr>
          <w:lang w:eastAsia="nl-NL"/>
        </w:rPr>
        <w:t xml:space="preserve">JA32/004-21BP </w:t>
      </w:r>
      <w:r w:rsidRPr="00C40B5B">
        <w:rPr>
          <w:lang w:eastAsia="nl-NL"/>
        </w:rPr>
        <w:t>MPU 2002-</w:t>
      </w:r>
      <w:smartTag w:uri="urn:schemas-microsoft-com:office:smarttags" w:element="metricconverter">
        <w:smartTagPr>
          <w:attr w:name="ProductID" w:val="000527. A"/>
        </w:smartTagPr>
        <w:r w:rsidRPr="00C40B5B">
          <w:rPr>
            <w:lang w:eastAsia="nl-NL"/>
          </w:rPr>
          <w:t>000527. A</w:t>
        </w:r>
      </w:smartTag>
      <w:r w:rsidRPr="00C40B5B">
        <w:rPr>
          <w:lang w:eastAsia="nl-NL"/>
        </w:rPr>
        <w:t xml:space="preserve"> Body and Clothing Check Form</w:t>
      </w:r>
      <w:r w:rsidR="006566E7" w:rsidRPr="00C40B5B">
        <w:rPr>
          <w:lang w:eastAsia="nl-NL"/>
        </w:rPr>
        <w:t>,</w:t>
      </w:r>
      <w:r w:rsidRPr="00C40B5B">
        <w:rPr>
          <w:lang w:eastAsia="nl-NL"/>
        </w:rPr>
        <w:t xml:space="preserve"> dated 11 October 2005, authori</w:t>
      </w:r>
      <w:r w:rsidR="006566E7" w:rsidRPr="00C40B5B">
        <w:rPr>
          <w:lang w:eastAsia="nl-NL"/>
        </w:rPr>
        <w:t>s</w:t>
      </w:r>
      <w:r w:rsidRPr="00C40B5B">
        <w:rPr>
          <w:lang w:eastAsia="nl-NL"/>
        </w:rPr>
        <w:t xml:space="preserve">ing the release of the mortal remains, is included in the OMPF file. </w:t>
      </w:r>
      <w:r w:rsidR="005C1B54" w:rsidRPr="00C40B5B">
        <w:rPr>
          <w:lang w:eastAsia="nl-NL"/>
        </w:rPr>
        <w:t xml:space="preserve">An undated OMPF document </w:t>
      </w:r>
      <w:r w:rsidR="006566E7" w:rsidRPr="00C40B5B">
        <w:rPr>
          <w:lang w:eastAsia="nl-NL"/>
        </w:rPr>
        <w:t>en</w:t>
      </w:r>
      <w:r w:rsidR="005C1B54" w:rsidRPr="00C40B5B">
        <w:rPr>
          <w:lang w:eastAsia="nl-NL"/>
        </w:rPr>
        <w:t xml:space="preserve">titled “Family Visit” indicates that </w:t>
      </w:r>
      <w:r w:rsidR="006566E7" w:rsidRPr="00C40B5B">
        <w:rPr>
          <w:lang w:eastAsia="nl-NL"/>
        </w:rPr>
        <w:t xml:space="preserve">the </w:t>
      </w:r>
      <w:r w:rsidR="005C1B54" w:rsidRPr="00C40B5B">
        <w:rPr>
          <w:lang w:eastAsia="nl-NL"/>
        </w:rPr>
        <w:t>UNMIK OMPF hande</w:t>
      </w:r>
      <w:r w:rsidR="00851EEA" w:rsidRPr="00C40B5B">
        <w:rPr>
          <w:lang w:eastAsia="nl-NL"/>
        </w:rPr>
        <w:t>d over the mortal remains of Mr</w:t>
      </w:r>
      <w:r w:rsidR="005C1B54" w:rsidRPr="00C40B5B">
        <w:rPr>
          <w:lang w:eastAsia="nl-NL"/>
        </w:rPr>
        <w:t xml:space="preserve"> </w:t>
      </w:r>
      <w:proofErr w:type="spellStart"/>
      <w:r w:rsidR="0001025A" w:rsidRPr="00C40B5B">
        <w:rPr>
          <w:lang w:eastAsia="nl-NL"/>
        </w:rPr>
        <w:t>Tomić</w:t>
      </w:r>
      <w:proofErr w:type="spellEnd"/>
      <w:r w:rsidR="005C1B54" w:rsidRPr="00C40B5B">
        <w:rPr>
          <w:lang w:eastAsia="nl-NL"/>
        </w:rPr>
        <w:t xml:space="preserve"> for reburial on 01 December 2006 at the administrative crossing </w:t>
      </w:r>
      <w:r w:rsidR="003A0C0C" w:rsidRPr="00C40B5B">
        <w:rPr>
          <w:lang w:eastAsia="nl-NL"/>
        </w:rPr>
        <w:t xml:space="preserve">between Serbia proper and Kosovo </w:t>
      </w:r>
      <w:r w:rsidR="005C1B54" w:rsidRPr="00C40B5B">
        <w:rPr>
          <w:lang w:eastAsia="nl-NL"/>
        </w:rPr>
        <w:t xml:space="preserve">known as “Gate </w:t>
      </w:r>
      <w:smartTag w:uri="urn:schemas-microsoft-com:office:smarttags" w:element="metricconverter">
        <w:smartTagPr>
          <w:attr w:name="ProductID" w:val="3”"/>
        </w:smartTagPr>
        <w:r w:rsidR="005C1B54" w:rsidRPr="00C40B5B">
          <w:rPr>
            <w:lang w:eastAsia="nl-NL"/>
          </w:rPr>
          <w:t>3”</w:t>
        </w:r>
      </w:smartTag>
      <w:r w:rsidR="005C1B54" w:rsidRPr="00C40B5B">
        <w:rPr>
          <w:lang w:eastAsia="nl-NL"/>
        </w:rPr>
        <w:t xml:space="preserve">. </w:t>
      </w:r>
    </w:p>
    <w:p w:rsidR="0032173D" w:rsidRPr="00C40B5B" w:rsidRDefault="0032173D" w:rsidP="0032173D">
      <w:pPr>
        <w:pStyle w:val="ListParagraph"/>
        <w:rPr>
          <w:lang w:eastAsia="nl-NL"/>
        </w:rPr>
      </w:pPr>
    </w:p>
    <w:p w:rsidR="0032173D" w:rsidRPr="00C40B5B" w:rsidRDefault="0032173D" w:rsidP="0032173D">
      <w:pPr>
        <w:pStyle w:val="ListParagraph"/>
        <w:numPr>
          <w:ilvl w:val="0"/>
          <w:numId w:val="10"/>
        </w:numPr>
        <w:autoSpaceDE w:val="0"/>
        <w:jc w:val="both"/>
        <w:rPr>
          <w:lang w:eastAsia="nl-NL"/>
        </w:rPr>
      </w:pPr>
      <w:r w:rsidRPr="00C40B5B">
        <w:rPr>
          <w:lang w:eastAsia="nl-NL"/>
        </w:rPr>
        <w:lastRenderedPageBreak/>
        <w:t xml:space="preserve">According to </w:t>
      </w:r>
      <w:r w:rsidR="00851EEA" w:rsidRPr="00C40B5B">
        <w:rPr>
          <w:lang w:eastAsia="nl-NL"/>
        </w:rPr>
        <w:t xml:space="preserve">an </w:t>
      </w:r>
      <w:r w:rsidRPr="00C40B5B">
        <w:rPr>
          <w:lang w:eastAsia="nl-NL"/>
        </w:rPr>
        <w:t xml:space="preserve">UNMIK </w:t>
      </w:r>
      <w:r w:rsidR="00851EEA" w:rsidRPr="00C40B5B">
        <w:rPr>
          <w:lang w:eastAsia="nl-NL"/>
        </w:rPr>
        <w:t>MPU document included in the file</w:t>
      </w:r>
      <w:r w:rsidRPr="00C40B5B">
        <w:rPr>
          <w:lang w:eastAsia="nl-NL"/>
        </w:rPr>
        <w:t>, dated 03 December 2006, the investigation in</w:t>
      </w:r>
      <w:r w:rsidR="006566E7" w:rsidRPr="00C40B5B">
        <w:rPr>
          <w:lang w:eastAsia="nl-NL"/>
        </w:rPr>
        <w:t>to</w:t>
      </w:r>
      <w:r w:rsidRPr="00C40B5B">
        <w:rPr>
          <w:lang w:eastAsia="nl-NL"/>
        </w:rPr>
        <w:t xml:space="preserve"> the disappearance of </w:t>
      </w:r>
      <w:r w:rsidR="00451E17" w:rsidRPr="00C40B5B">
        <w:rPr>
          <w:lang w:eastAsia="nl-NL"/>
        </w:rPr>
        <w:t>Mr</w:t>
      </w:r>
      <w:r w:rsidRPr="00C40B5B">
        <w:rPr>
          <w:lang w:eastAsia="nl-NL"/>
        </w:rPr>
        <w:t xml:space="preserve"> </w:t>
      </w:r>
      <w:proofErr w:type="spellStart"/>
      <w:r w:rsidRPr="00C40B5B">
        <w:rPr>
          <w:lang w:eastAsia="nl-NL"/>
        </w:rPr>
        <w:t>Tomić</w:t>
      </w:r>
      <w:proofErr w:type="spellEnd"/>
      <w:r w:rsidRPr="00C40B5B">
        <w:rPr>
          <w:lang w:eastAsia="nl-NL"/>
        </w:rPr>
        <w:t xml:space="preserve"> was closed in December 2006, </w:t>
      </w:r>
      <w:r w:rsidR="00851EEA" w:rsidRPr="00C40B5B">
        <w:rPr>
          <w:lang w:eastAsia="nl-NL"/>
        </w:rPr>
        <w:t xml:space="preserve">after the mortal remains of </w:t>
      </w:r>
      <w:r w:rsidR="00451E17" w:rsidRPr="00C40B5B">
        <w:rPr>
          <w:lang w:eastAsia="nl-NL"/>
        </w:rPr>
        <w:t>Mr</w:t>
      </w:r>
      <w:r w:rsidR="00851EEA" w:rsidRPr="00C40B5B">
        <w:rPr>
          <w:lang w:eastAsia="nl-NL"/>
        </w:rPr>
        <w:t xml:space="preserve"> </w:t>
      </w:r>
      <w:proofErr w:type="spellStart"/>
      <w:r w:rsidRPr="00C40B5B">
        <w:rPr>
          <w:lang w:eastAsia="nl-NL"/>
        </w:rPr>
        <w:t>Tomić</w:t>
      </w:r>
      <w:proofErr w:type="spellEnd"/>
      <w:r w:rsidRPr="00C40B5B">
        <w:rPr>
          <w:lang w:eastAsia="nl-NL"/>
        </w:rPr>
        <w:t xml:space="preserve"> had been identified and handed over to the family for reburial. </w:t>
      </w:r>
    </w:p>
    <w:p w:rsidR="00D67F4F" w:rsidRPr="00C40B5B" w:rsidRDefault="00D67F4F" w:rsidP="00D67F4F">
      <w:pPr>
        <w:pStyle w:val="ListParagraph"/>
        <w:rPr>
          <w:lang w:eastAsia="nl-NL"/>
        </w:rPr>
      </w:pPr>
    </w:p>
    <w:p w:rsidR="00992C26" w:rsidRPr="00C40B5B" w:rsidRDefault="00992C26" w:rsidP="00F81E98">
      <w:pPr>
        <w:pStyle w:val="ListParagraph"/>
        <w:numPr>
          <w:ilvl w:val="0"/>
          <w:numId w:val="9"/>
        </w:numPr>
        <w:ind w:left="360"/>
        <w:jc w:val="both"/>
        <w:rPr>
          <w:i/>
        </w:rPr>
      </w:pPr>
      <w:r w:rsidRPr="00C40B5B">
        <w:rPr>
          <w:i/>
          <w:lang w:eastAsia="nl-NL"/>
        </w:rPr>
        <w:t xml:space="preserve">Criminal investigation by the UNMIK WCIU </w:t>
      </w:r>
    </w:p>
    <w:p w:rsidR="00F12AAA" w:rsidRPr="00C40B5B" w:rsidRDefault="00F12AAA" w:rsidP="00F12AAA">
      <w:pPr>
        <w:pStyle w:val="ListParagraph"/>
        <w:suppressAutoHyphens w:val="0"/>
        <w:ind w:left="360"/>
        <w:jc w:val="both"/>
        <w:rPr>
          <w:lang w:eastAsia="nl-NL"/>
        </w:rPr>
      </w:pPr>
    </w:p>
    <w:p w:rsidR="00F12AAA" w:rsidRPr="00C40B5B" w:rsidRDefault="00F12AAA" w:rsidP="00F12AAA">
      <w:pPr>
        <w:pStyle w:val="ListParagraph"/>
        <w:numPr>
          <w:ilvl w:val="0"/>
          <w:numId w:val="12"/>
        </w:numPr>
        <w:suppressAutoHyphens w:val="0"/>
        <w:jc w:val="both"/>
        <w:rPr>
          <w:lang w:eastAsia="nl-NL"/>
        </w:rPr>
      </w:pPr>
      <w:r w:rsidRPr="00C40B5B">
        <w:rPr>
          <w:lang w:eastAsia="nl-NL"/>
        </w:rPr>
        <w:t xml:space="preserve">The investigative file contains an </w:t>
      </w:r>
      <w:r w:rsidR="0043640F" w:rsidRPr="00C40B5B">
        <w:rPr>
          <w:lang w:eastAsia="nl-NL"/>
        </w:rPr>
        <w:t>English translation of an undated criminal report</w:t>
      </w:r>
      <w:r w:rsidRPr="00C40B5B">
        <w:rPr>
          <w:lang w:eastAsia="nl-NL"/>
        </w:rPr>
        <w:t xml:space="preserve"> by the complainant</w:t>
      </w:r>
      <w:r w:rsidR="00B57D0A" w:rsidRPr="00C40B5B">
        <w:rPr>
          <w:lang w:eastAsia="nl-NL"/>
        </w:rPr>
        <w:t>’s son</w:t>
      </w:r>
      <w:r w:rsidR="0043640F" w:rsidRPr="00C40B5B">
        <w:rPr>
          <w:lang w:eastAsia="nl-NL"/>
        </w:rPr>
        <w:t xml:space="preserve"> addressed to</w:t>
      </w:r>
      <w:r w:rsidRPr="00C40B5B">
        <w:rPr>
          <w:lang w:eastAsia="nl-NL"/>
        </w:rPr>
        <w:t xml:space="preserve"> the International Prosecutor at the District </w:t>
      </w:r>
      <w:r w:rsidR="0043640F" w:rsidRPr="00C40B5B">
        <w:rPr>
          <w:lang w:eastAsia="nl-NL"/>
        </w:rPr>
        <w:t xml:space="preserve">Public </w:t>
      </w:r>
      <w:r w:rsidRPr="00C40B5B">
        <w:rPr>
          <w:lang w:eastAsia="nl-NL"/>
        </w:rPr>
        <w:t>Prosecutor</w:t>
      </w:r>
      <w:r w:rsidR="0043640F" w:rsidRPr="00C40B5B">
        <w:rPr>
          <w:lang w:eastAsia="nl-NL"/>
        </w:rPr>
        <w:t>’s</w:t>
      </w:r>
      <w:r w:rsidRPr="00C40B5B">
        <w:rPr>
          <w:lang w:eastAsia="nl-NL"/>
        </w:rPr>
        <w:t xml:space="preserve"> Office</w:t>
      </w:r>
      <w:r w:rsidR="0043640F" w:rsidRPr="00C40B5B">
        <w:rPr>
          <w:lang w:eastAsia="nl-NL"/>
        </w:rPr>
        <w:t xml:space="preserve"> (DPPO)</w:t>
      </w:r>
      <w:r w:rsidRPr="00C40B5B">
        <w:rPr>
          <w:lang w:eastAsia="nl-NL"/>
        </w:rPr>
        <w:t xml:space="preserve"> in Prishtinë/Priština</w:t>
      </w:r>
      <w:r w:rsidR="0043640F" w:rsidRPr="00C40B5B">
        <w:rPr>
          <w:lang w:eastAsia="nl-NL"/>
        </w:rPr>
        <w:t>,</w:t>
      </w:r>
      <w:r w:rsidRPr="00C40B5B">
        <w:rPr>
          <w:lang w:eastAsia="nl-NL"/>
        </w:rPr>
        <w:t xml:space="preserve"> concerning the abduction of Mr </w:t>
      </w:r>
      <w:proofErr w:type="spellStart"/>
      <w:r w:rsidR="00820F3A" w:rsidRPr="00C40B5B">
        <w:rPr>
          <w:lang w:eastAsia="nl-NL"/>
        </w:rPr>
        <w:t>Svetozar</w:t>
      </w:r>
      <w:proofErr w:type="spellEnd"/>
      <w:r w:rsidR="00820F3A" w:rsidRPr="00C40B5B">
        <w:rPr>
          <w:lang w:eastAsia="nl-NL"/>
        </w:rPr>
        <w:t xml:space="preserve"> </w:t>
      </w:r>
      <w:proofErr w:type="spellStart"/>
      <w:r w:rsidR="00820F3A" w:rsidRPr="00C40B5B">
        <w:rPr>
          <w:lang w:eastAsia="nl-NL"/>
        </w:rPr>
        <w:t>Tomić</w:t>
      </w:r>
      <w:proofErr w:type="spellEnd"/>
      <w:r w:rsidR="0043640F" w:rsidRPr="00C40B5B">
        <w:rPr>
          <w:lang w:eastAsia="nl-NL"/>
        </w:rPr>
        <w:t xml:space="preserve">. Besides </w:t>
      </w:r>
      <w:r w:rsidR="00BB6628" w:rsidRPr="00C40B5B">
        <w:rPr>
          <w:lang w:eastAsia="nl-NL"/>
        </w:rPr>
        <w:t xml:space="preserve">a detailed description </w:t>
      </w:r>
      <w:r w:rsidR="0043640F" w:rsidRPr="00C40B5B">
        <w:rPr>
          <w:lang w:eastAsia="nl-NL"/>
        </w:rPr>
        <w:t xml:space="preserve">of Mr </w:t>
      </w:r>
      <w:proofErr w:type="spellStart"/>
      <w:r w:rsidR="00820F3A" w:rsidRPr="00C40B5B">
        <w:rPr>
          <w:lang w:eastAsia="nl-NL"/>
        </w:rPr>
        <w:t>Svetozar</w:t>
      </w:r>
      <w:proofErr w:type="spellEnd"/>
      <w:r w:rsidR="00820F3A" w:rsidRPr="00C40B5B">
        <w:rPr>
          <w:lang w:eastAsia="nl-NL"/>
        </w:rPr>
        <w:t xml:space="preserve"> </w:t>
      </w:r>
      <w:proofErr w:type="spellStart"/>
      <w:r w:rsidR="00820F3A" w:rsidRPr="00C40B5B">
        <w:rPr>
          <w:lang w:eastAsia="nl-NL"/>
        </w:rPr>
        <w:t>Tomić</w:t>
      </w:r>
      <w:r w:rsidR="0043640F" w:rsidRPr="00C40B5B">
        <w:rPr>
          <w:lang w:eastAsia="nl-NL"/>
        </w:rPr>
        <w:t>’s</w:t>
      </w:r>
      <w:proofErr w:type="spellEnd"/>
      <w:r w:rsidR="0043640F" w:rsidRPr="00C40B5B">
        <w:rPr>
          <w:lang w:eastAsia="nl-NL"/>
        </w:rPr>
        <w:t xml:space="preserve"> abduction, in that report the complainant </w:t>
      </w:r>
      <w:r w:rsidRPr="00C40B5B">
        <w:rPr>
          <w:lang w:eastAsia="nl-NL"/>
        </w:rPr>
        <w:t xml:space="preserve">states that the family did not have any information </w:t>
      </w:r>
      <w:r w:rsidR="006566E7" w:rsidRPr="00C40B5B">
        <w:rPr>
          <w:lang w:eastAsia="nl-NL"/>
        </w:rPr>
        <w:t xml:space="preserve">as to </w:t>
      </w:r>
      <w:r w:rsidRPr="00C40B5B">
        <w:rPr>
          <w:lang w:eastAsia="nl-NL"/>
        </w:rPr>
        <w:t xml:space="preserve">his fate </w:t>
      </w:r>
      <w:r w:rsidR="006566E7" w:rsidRPr="00C40B5B">
        <w:rPr>
          <w:lang w:eastAsia="nl-NL"/>
        </w:rPr>
        <w:t xml:space="preserve">or </w:t>
      </w:r>
      <w:r w:rsidRPr="00C40B5B">
        <w:rPr>
          <w:lang w:eastAsia="nl-NL"/>
        </w:rPr>
        <w:t>whereabouts</w:t>
      </w:r>
      <w:r w:rsidR="00BB6628" w:rsidRPr="00C40B5B">
        <w:rPr>
          <w:lang w:eastAsia="nl-NL"/>
        </w:rPr>
        <w:t>.</w:t>
      </w:r>
      <w:r w:rsidRPr="00C40B5B">
        <w:rPr>
          <w:lang w:eastAsia="nl-NL"/>
        </w:rPr>
        <w:t xml:space="preserve"> </w:t>
      </w:r>
      <w:r w:rsidR="00BB6628" w:rsidRPr="00C40B5B">
        <w:rPr>
          <w:lang w:eastAsia="nl-NL"/>
        </w:rPr>
        <w:t xml:space="preserve">The translation notes indicate </w:t>
      </w:r>
      <w:r w:rsidR="007E1DB1" w:rsidRPr="00C40B5B">
        <w:rPr>
          <w:lang w:eastAsia="nl-NL"/>
        </w:rPr>
        <w:t xml:space="preserve">that </w:t>
      </w:r>
      <w:r w:rsidR="00BB6628" w:rsidRPr="00C40B5B">
        <w:rPr>
          <w:lang w:eastAsia="nl-NL"/>
        </w:rPr>
        <w:t xml:space="preserve">the </w:t>
      </w:r>
      <w:r w:rsidR="007E1DB1" w:rsidRPr="00C40B5B">
        <w:rPr>
          <w:lang w:eastAsia="nl-NL"/>
        </w:rPr>
        <w:t>translation</w:t>
      </w:r>
      <w:r w:rsidR="00E06C0F" w:rsidRPr="00C40B5B">
        <w:rPr>
          <w:lang w:eastAsia="nl-NL"/>
        </w:rPr>
        <w:t xml:space="preserve"> was</w:t>
      </w:r>
      <w:r w:rsidR="007E1DB1" w:rsidRPr="00C40B5B">
        <w:rPr>
          <w:lang w:eastAsia="nl-NL"/>
        </w:rPr>
        <w:t xml:space="preserve"> </w:t>
      </w:r>
      <w:r w:rsidR="00BB6628" w:rsidRPr="00C40B5B">
        <w:rPr>
          <w:lang w:eastAsia="nl-NL"/>
        </w:rPr>
        <w:t>“created on 3/10/2005”</w:t>
      </w:r>
      <w:r w:rsidR="00E95DB7" w:rsidRPr="00C40B5B">
        <w:rPr>
          <w:lang w:eastAsia="nl-NL"/>
        </w:rPr>
        <w:t>, the original Serbian version of the document</w:t>
      </w:r>
      <w:r w:rsidR="008D52AF" w:rsidRPr="00C40B5B">
        <w:rPr>
          <w:lang w:eastAsia="nl-NL"/>
        </w:rPr>
        <w:t xml:space="preserve">, which would likely have had a date stamp indicating when the complaint was filed, </w:t>
      </w:r>
      <w:r w:rsidR="00E95DB7" w:rsidRPr="00C40B5B">
        <w:rPr>
          <w:lang w:eastAsia="nl-NL"/>
        </w:rPr>
        <w:t>was not pr</w:t>
      </w:r>
      <w:r w:rsidR="007E1DB1" w:rsidRPr="00C40B5B">
        <w:rPr>
          <w:lang w:eastAsia="nl-NL"/>
        </w:rPr>
        <w:t>ovided by UNMIK.</w:t>
      </w:r>
    </w:p>
    <w:p w:rsidR="0060616E" w:rsidRPr="00C40B5B" w:rsidRDefault="0060616E" w:rsidP="0060616E">
      <w:pPr>
        <w:pStyle w:val="ListParagraph"/>
        <w:suppressAutoHyphens w:val="0"/>
        <w:ind w:left="360"/>
        <w:jc w:val="both"/>
        <w:rPr>
          <w:lang w:eastAsia="nl-NL"/>
        </w:rPr>
      </w:pPr>
    </w:p>
    <w:p w:rsidR="0043640F" w:rsidRPr="00C40B5B" w:rsidRDefault="000507C8" w:rsidP="00124B43">
      <w:pPr>
        <w:pStyle w:val="ListParagraph"/>
        <w:numPr>
          <w:ilvl w:val="0"/>
          <w:numId w:val="12"/>
        </w:numPr>
        <w:suppressAutoHyphens w:val="0"/>
        <w:jc w:val="both"/>
        <w:rPr>
          <w:lang w:eastAsia="nl-NL"/>
        </w:rPr>
      </w:pPr>
      <w:r w:rsidRPr="00C40B5B">
        <w:rPr>
          <w:lang w:eastAsia="nl-NL"/>
        </w:rPr>
        <w:t xml:space="preserve">In </w:t>
      </w:r>
      <w:r w:rsidR="005135F8" w:rsidRPr="00C40B5B">
        <w:rPr>
          <w:lang w:eastAsia="nl-NL"/>
        </w:rPr>
        <w:t>December 2004</w:t>
      </w:r>
      <w:r w:rsidRPr="00C40B5B">
        <w:rPr>
          <w:lang w:eastAsia="nl-NL"/>
        </w:rPr>
        <w:t>, the UNMIK</w:t>
      </w:r>
      <w:r w:rsidR="0043640F" w:rsidRPr="00C40B5B">
        <w:rPr>
          <w:lang w:eastAsia="nl-NL"/>
        </w:rPr>
        <w:t xml:space="preserve"> Police </w:t>
      </w:r>
      <w:r w:rsidR="0060616E" w:rsidRPr="00C40B5B">
        <w:rPr>
          <w:lang w:eastAsia="nl-NL"/>
        </w:rPr>
        <w:t>WCIU conducted an ant</w:t>
      </w:r>
      <w:r w:rsidR="005135F8" w:rsidRPr="00C40B5B">
        <w:rPr>
          <w:lang w:eastAsia="nl-NL"/>
        </w:rPr>
        <w:t>e-mortem investigation, no. 1062</w:t>
      </w:r>
      <w:r w:rsidR="0060616E" w:rsidRPr="00C40B5B">
        <w:rPr>
          <w:lang w:eastAsia="nl-NL"/>
        </w:rPr>
        <w:t xml:space="preserve">/INV/04, </w:t>
      </w:r>
      <w:r w:rsidR="00594F5E" w:rsidRPr="00C40B5B">
        <w:rPr>
          <w:lang w:eastAsia="nl-NL"/>
        </w:rPr>
        <w:t xml:space="preserve">cross-referencing </w:t>
      </w:r>
      <w:r w:rsidR="005135F8" w:rsidRPr="00C40B5B">
        <w:rPr>
          <w:lang w:eastAsia="nl-NL"/>
        </w:rPr>
        <w:t>MPU case no. 2002-000527</w:t>
      </w:r>
      <w:r w:rsidR="0060616E" w:rsidRPr="00C40B5B">
        <w:rPr>
          <w:lang w:eastAsia="nl-NL"/>
        </w:rPr>
        <w:t xml:space="preserve">. A WCIU Ante-Mortem Investigation Report dated </w:t>
      </w:r>
      <w:r w:rsidR="005135F8" w:rsidRPr="00C40B5B">
        <w:rPr>
          <w:lang w:eastAsia="nl-NL"/>
        </w:rPr>
        <w:t xml:space="preserve">16 December 2004 </w:t>
      </w:r>
      <w:r w:rsidR="0043640F" w:rsidRPr="00C40B5B">
        <w:rPr>
          <w:lang w:eastAsia="nl-NL"/>
        </w:rPr>
        <w:t>states</w:t>
      </w:r>
      <w:r w:rsidR="0060616E" w:rsidRPr="00C40B5B">
        <w:rPr>
          <w:lang w:eastAsia="nl-NL"/>
        </w:rPr>
        <w:t xml:space="preserve"> in the field “Further investigatio</w:t>
      </w:r>
      <w:r w:rsidR="0043640F" w:rsidRPr="00C40B5B">
        <w:rPr>
          <w:lang w:eastAsia="nl-NL"/>
        </w:rPr>
        <w:t xml:space="preserve">n” that the </w:t>
      </w:r>
      <w:r w:rsidR="0060616E" w:rsidRPr="00C40B5B">
        <w:rPr>
          <w:lang w:eastAsia="nl-NL"/>
        </w:rPr>
        <w:t xml:space="preserve">investigator </w:t>
      </w:r>
      <w:r w:rsidR="00E06C0F" w:rsidRPr="00C40B5B">
        <w:rPr>
          <w:lang w:eastAsia="nl-NL"/>
        </w:rPr>
        <w:t xml:space="preserve">had </w:t>
      </w:r>
      <w:r w:rsidR="0060616E" w:rsidRPr="00C40B5B">
        <w:rPr>
          <w:lang w:eastAsia="nl-NL"/>
        </w:rPr>
        <w:t>contact</w:t>
      </w:r>
      <w:r w:rsidR="005135F8" w:rsidRPr="00C40B5B">
        <w:rPr>
          <w:lang w:eastAsia="nl-NL"/>
        </w:rPr>
        <w:t>ed</w:t>
      </w:r>
      <w:r w:rsidR="0060616E" w:rsidRPr="00C40B5B">
        <w:rPr>
          <w:lang w:eastAsia="nl-NL"/>
        </w:rPr>
        <w:t xml:space="preserve"> the </w:t>
      </w:r>
      <w:r w:rsidR="005135F8" w:rsidRPr="00C40B5B">
        <w:rPr>
          <w:lang w:eastAsia="nl-NL"/>
        </w:rPr>
        <w:t>complainant</w:t>
      </w:r>
      <w:r w:rsidR="0060616E" w:rsidRPr="00C40B5B">
        <w:rPr>
          <w:lang w:eastAsia="nl-NL"/>
        </w:rPr>
        <w:t xml:space="preserve"> </w:t>
      </w:r>
      <w:r w:rsidR="005135F8" w:rsidRPr="00C40B5B">
        <w:rPr>
          <w:lang w:eastAsia="nl-NL"/>
        </w:rPr>
        <w:t>by telephone</w:t>
      </w:r>
      <w:r w:rsidR="0060616E" w:rsidRPr="00C40B5B">
        <w:rPr>
          <w:lang w:eastAsia="nl-NL"/>
        </w:rPr>
        <w:t>. In the field “</w:t>
      </w:r>
      <w:r w:rsidR="005135F8" w:rsidRPr="00C40B5B">
        <w:rPr>
          <w:lang w:eastAsia="nl-NL"/>
        </w:rPr>
        <w:t>Statement of witness</w:t>
      </w:r>
      <w:r w:rsidR="0060616E" w:rsidRPr="00C40B5B">
        <w:rPr>
          <w:lang w:eastAsia="nl-NL"/>
        </w:rPr>
        <w:t>” the report states “</w:t>
      </w:r>
      <w:proofErr w:type="spellStart"/>
      <w:r w:rsidR="0001025A" w:rsidRPr="00C40B5B">
        <w:rPr>
          <w:lang w:eastAsia="nl-NL"/>
        </w:rPr>
        <w:t>Tomić</w:t>
      </w:r>
      <w:proofErr w:type="spellEnd"/>
      <w:r w:rsidR="005135F8" w:rsidRPr="00C40B5B">
        <w:rPr>
          <w:lang w:eastAsia="nl-NL"/>
        </w:rPr>
        <w:t xml:space="preserve"> </w:t>
      </w:r>
      <w:proofErr w:type="spellStart"/>
      <w:r w:rsidR="005135F8" w:rsidRPr="00C40B5B">
        <w:rPr>
          <w:lang w:eastAsia="nl-NL"/>
        </w:rPr>
        <w:t>Svetozar</w:t>
      </w:r>
      <w:proofErr w:type="spellEnd"/>
      <w:r w:rsidR="005135F8" w:rsidRPr="00C40B5B">
        <w:rPr>
          <w:lang w:eastAsia="nl-NL"/>
        </w:rPr>
        <w:t xml:space="preserve"> disappeared in the village of </w:t>
      </w:r>
      <w:proofErr w:type="spellStart"/>
      <w:r w:rsidR="005135F8" w:rsidRPr="00C40B5B">
        <w:rPr>
          <w:lang w:eastAsia="nl-NL"/>
        </w:rPr>
        <w:t>Bela</w:t>
      </w:r>
      <w:proofErr w:type="spellEnd"/>
      <w:r w:rsidR="005135F8" w:rsidRPr="00C40B5B">
        <w:rPr>
          <w:lang w:eastAsia="nl-NL"/>
        </w:rPr>
        <w:t xml:space="preserve"> </w:t>
      </w:r>
      <w:proofErr w:type="spellStart"/>
      <w:r w:rsidR="005135F8" w:rsidRPr="00C40B5B">
        <w:rPr>
          <w:lang w:eastAsia="nl-NL"/>
        </w:rPr>
        <w:t>Crkva</w:t>
      </w:r>
      <w:proofErr w:type="spellEnd"/>
      <w:r w:rsidR="005135F8" w:rsidRPr="00C40B5B">
        <w:rPr>
          <w:lang w:eastAsia="nl-NL"/>
        </w:rPr>
        <w:t xml:space="preserve">, Orahovac municipality while driving a car FORD ESCORT, black in colour whit </w:t>
      </w:r>
      <w:r w:rsidR="0087063C" w:rsidRPr="00C40B5B">
        <w:rPr>
          <w:lang w:eastAsia="nl-NL"/>
        </w:rPr>
        <w:t>{sic}</w:t>
      </w:r>
      <w:r w:rsidR="005135F8" w:rsidRPr="00C40B5B">
        <w:rPr>
          <w:lang w:eastAsia="nl-NL"/>
        </w:rPr>
        <w:t>window on top, TG (Titograd) plates. He was never seen after that</w:t>
      </w:r>
      <w:r w:rsidR="0060616E" w:rsidRPr="00C40B5B">
        <w:rPr>
          <w:lang w:eastAsia="nl-NL"/>
        </w:rPr>
        <w:t xml:space="preserve">”. </w:t>
      </w:r>
    </w:p>
    <w:p w:rsidR="0043640F" w:rsidRPr="00C40B5B" w:rsidRDefault="0043640F" w:rsidP="0043640F">
      <w:pPr>
        <w:pStyle w:val="ListParagraph"/>
        <w:rPr>
          <w:lang w:eastAsia="nl-NL"/>
        </w:rPr>
      </w:pPr>
    </w:p>
    <w:p w:rsidR="0060616E" w:rsidRPr="00C40B5B" w:rsidRDefault="00B226E1" w:rsidP="00124B43">
      <w:pPr>
        <w:pStyle w:val="ListParagraph"/>
        <w:numPr>
          <w:ilvl w:val="0"/>
          <w:numId w:val="12"/>
        </w:numPr>
        <w:suppressAutoHyphens w:val="0"/>
        <w:jc w:val="both"/>
        <w:rPr>
          <w:lang w:eastAsia="nl-NL"/>
        </w:rPr>
      </w:pPr>
      <w:r w:rsidRPr="00C40B5B">
        <w:rPr>
          <w:lang w:eastAsia="nl-NL"/>
        </w:rPr>
        <w:t xml:space="preserve">The file contains two </w:t>
      </w:r>
      <w:r w:rsidR="00BB2F61" w:rsidRPr="00C40B5B">
        <w:rPr>
          <w:lang w:eastAsia="nl-NL"/>
        </w:rPr>
        <w:t xml:space="preserve">numbered </w:t>
      </w:r>
      <w:r w:rsidRPr="00C40B5B">
        <w:rPr>
          <w:lang w:eastAsia="nl-NL"/>
        </w:rPr>
        <w:t xml:space="preserve">1-page documents </w:t>
      </w:r>
      <w:r w:rsidR="00BB2F61" w:rsidRPr="00C40B5B">
        <w:rPr>
          <w:lang w:eastAsia="nl-NL"/>
        </w:rPr>
        <w:t>both</w:t>
      </w:r>
      <w:r w:rsidR="000A4BD4" w:rsidRPr="00C40B5B">
        <w:rPr>
          <w:lang w:eastAsia="nl-NL"/>
        </w:rPr>
        <w:t xml:space="preserve"> </w:t>
      </w:r>
      <w:r w:rsidR="00BB2F61" w:rsidRPr="00C40B5B">
        <w:rPr>
          <w:lang w:eastAsia="nl-NL"/>
        </w:rPr>
        <w:t>signed by</w:t>
      </w:r>
      <w:r w:rsidR="00803AE4" w:rsidRPr="00C40B5B">
        <w:rPr>
          <w:lang w:eastAsia="nl-NL"/>
        </w:rPr>
        <w:t xml:space="preserve"> </w:t>
      </w:r>
      <w:r w:rsidR="00BB2F61" w:rsidRPr="00C40B5B">
        <w:rPr>
          <w:lang w:eastAsia="nl-NL"/>
        </w:rPr>
        <w:t>F. L.</w:t>
      </w:r>
      <w:r w:rsidR="008D159C" w:rsidRPr="00C40B5B">
        <w:rPr>
          <w:lang w:eastAsia="nl-NL"/>
        </w:rPr>
        <w:t>, who ostensibly worked for an OSCE team in Kosovo conducting investigations on behalf of the ICTY.</w:t>
      </w:r>
      <w:r w:rsidR="008D159C" w:rsidRPr="00C40B5B">
        <w:rPr>
          <w:rStyle w:val="CommentReference"/>
          <w:lang w:eastAsia="en-US"/>
        </w:rPr>
        <w:t xml:space="preserve"> </w:t>
      </w:r>
      <w:r w:rsidRPr="00C40B5B">
        <w:rPr>
          <w:lang w:eastAsia="nl-NL"/>
        </w:rPr>
        <w:t xml:space="preserve"> The first document</w:t>
      </w:r>
      <w:r w:rsidR="000A4BD4" w:rsidRPr="00C40B5B">
        <w:rPr>
          <w:lang w:eastAsia="nl-NL"/>
        </w:rPr>
        <w:t xml:space="preserve"> </w:t>
      </w:r>
      <w:r w:rsidR="00E06C0F" w:rsidRPr="00C40B5B">
        <w:rPr>
          <w:lang w:eastAsia="nl-NL"/>
        </w:rPr>
        <w:t>en</w:t>
      </w:r>
      <w:r w:rsidR="000A4BD4" w:rsidRPr="00C40B5B">
        <w:rPr>
          <w:lang w:eastAsia="nl-NL"/>
        </w:rPr>
        <w:t>titled “List of persons kidnapped by Albanian terrorists on 17 July,</w:t>
      </w:r>
      <w:r w:rsidR="00BB2F61" w:rsidRPr="00C40B5B">
        <w:rPr>
          <w:lang w:eastAsia="nl-NL"/>
        </w:rPr>
        <w:t xml:space="preserve"> 1998 in Orahovac” includes the</w:t>
      </w:r>
      <w:r w:rsidR="000A4BD4" w:rsidRPr="00C40B5B">
        <w:rPr>
          <w:lang w:eastAsia="nl-NL"/>
        </w:rPr>
        <w:t xml:space="preserve"> name and year of birth of Mr </w:t>
      </w:r>
      <w:proofErr w:type="spellStart"/>
      <w:r w:rsidR="0001025A" w:rsidRPr="00C40B5B">
        <w:rPr>
          <w:lang w:eastAsia="nl-NL"/>
        </w:rPr>
        <w:t>Tomić</w:t>
      </w:r>
      <w:proofErr w:type="spellEnd"/>
      <w:r w:rsidR="000A4BD4" w:rsidRPr="00C40B5B">
        <w:rPr>
          <w:lang w:eastAsia="nl-NL"/>
        </w:rPr>
        <w:t>. The second document</w:t>
      </w:r>
      <w:r w:rsidR="00E06C0F" w:rsidRPr="00C40B5B">
        <w:rPr>
          <w:lang w:eastAsia="nl-NL"/>
        </w:rPr>
        <w:t>,</w:t>
      </w:r>
      <w:r w:rsidR="000A4BD4" w:rsidRPr="00C40B5B">
        <w:rPr>
          <w:lang w:eastAsia="nl-NL"/>
        </w:rPr>
        <w:t xml:space="preserve"> under the title “Person who has been kidnapped in the village of </w:t>
      </w:r>
      <w:proofErr w:type="spellStart"/>
      <w:r w:rsidR="000A4BD4" w:rsidRPr="00C40B5B">
        <w:rPr>
          <w:lang w:eastAsia="nl-NL"/>
        </w:rPr>
        <w:t>Bela</w:t>
      </w:r>
      <w:proofErr w:type="spellEnd"/>
      <w:r w:rsidR="000A4BD4" w:rsidRPr="00C40B5B">
        <w:rPr>
          <w:lang w:eastAsia="nl-NL"/>
        </w:rPr>
        <w:t xml:space="preserve"> </w:t>
      </w:r>
      <w:proofErr w:type="spellStart"/>
      <w:r w:rsidR="000A4BD4" w:rsidRPr="00C40B5B">
        <w:rPr>
          <w:lang w:eastAsia="nl-NL"/>
        </w:rPr>
        <w:t>Crkva</w:t>
      </w:r>
      <w:proofErr w:type="spellEnd"/>
      <w:r w:rsidR="000A4BD4" w:rsidRPr="00C40B5B">
        <w:rPr>
          <w:lang w:eastAsia="nl-NL"/>
        </w:rPr>
        <w:t xml:space="preserve"> on 17 July, 1998”</w:t>
      </w:r>
      <w:r w:rsidR="00E06C0F" w:rsidRPr="00C40B5B">
        <w:rPr>
          <w:lang w:eastAsia="nl-NL"/>
        </w:rPr>
        <w:t>,</w:t>
      </w:r>
      <w:r w:rsidR="000A4BD4" w:rsidRPr="00C40B5B">
        <w:rPr>
          <w:lang w:eastAsia="nl-NL"/>
        </w:rPr>
        <w:t xml:space="preserve"> provides details of the name of an “eye-witness of this kidnapping” </w:t>
      </w:r>
      <w:r w:rsidR="001E0B67" w:rsidRPr="00C40B5B">
        <w:rPr>
          <w:lang w:eastAsia="nl-NL"/>
        </w:rPr>
        <w:t>including</w:t>
      </w:r>
      <w:r w:rsidR="003E15BD" w:rsidRPr="00C40B5B">
        <w:rPr>
          <w:lang w:eastAsia="nl-NL"/>
        </w:rPr>
        <w:t xml:space="preserve"> the</w:t>
      </w:r>
      <w:r w:rsidR="001E0B67" w:rsidRPr="00C40B5B">
        <w:rPr>
          <w:lang w:eastAsia="nl-NL"/>
        </w:rPr>
        <w:t xml:space="preserve"> </w:t>
      </w:r>
      <w:r w:rsidR="000A4BD4" w:rsidRPr="00C40B5B">
        <w:rPr>
          <w:lang w:eastAsia="nl-NL"/>
        </w:rPr>
        <w:t>village where he live</w:t>
      </w:r>
      <w:r w:rsidR="003E15BD" w:rsidRPr="00C40B5B">
        <w:rPr>
          <w:lang w:eastAsia="nl-NL"/>
        </w:rPr>
        <w:t>d</w:t>
      </w:r>
      <w:r w:rsidR="006556F3" w:rsidRPr="00C40B5B">
        <w:rPr>
          <w:lang w:eastAsia="nl-NL"/>
        </w:rPr>
        <w:t xml:space="preserve">. The document also provides the name and location of the possible perpetrator of Mr </w:t>
      </w:r>
      <w:proofErr w:type="spellStart"/>
      <w:r w:rsidR="0001025A" w:rsidRPr="00C40B5B">
        <w:rPr>
          <w:lang w:eastAsia="nl-NL"/>
        </w:rPr>
        <w:t>Tomić</w:t>
      </w:r>
      <w:r w:rsidR="006556F3" w:rsidRPr="00C40B5B">
        <w:rPr>
          <w:lang w:eastAsia="nl-NL"/>
        </w:rPr>
        <w:t>’s</w:t>
      </w:r>
      <w:proofErr w:type="spellEnd"/>
      <w:r w:rsidR="007E1DB1" w:rsidRPr="00C40B5B">
        <w:rPr>
          <w:lang w:eastAsia="nl-NL"/>
        </w:rPr>
        <w:t xml:space="preserve"> kidnapping, and states that Mr</w:t>
      </w:r>
      <w:r w:rsidR="006556F3" w:rsidRPr="00C40B5B">
        <w:rPr>
          <w:lang w:eastAsia="nl-NL"/>
        </w:rPr>
        <w:t xml:space="preserve"> </w:t>
      </w:r>
      <w:proofErr w:type="spellStart"/>
      <w:r w:rsidR="0001025A" w:rsidRPr="00C40B5B">
        <w:rPr>
          <w:lang w:eastAsia="nl-NL"/>
        </w:rPr>
        <w:t>Tomić</w:t>
      </w:r>
      <w:proofErr w:type="spellEnd"/>
      <w:r w:rsidR="006556F3" w:rsidRPr="00C40B5B">
        <w:rPr>
          <w:lang w:eastAsia="nl-NL"/>
        </w:rPr>
        <w:t xml:space="preserve"> was “taken in the v</w:t>
      </w:r>
      <w:r w:rsidR="00732FE2" w:rsidRPr="00C40B5B">
        <w:rPr>
          <w:lang w:eastAsia="nl-NL"/>
        </w:rPr>
        <w:t xml:space="preserve">illage of </w:t>
      </w:r>
      <w:proofErr w:type="spellStart"/>
      <w:r w:rsidR="00732FE2" w:rsidRPr="00C40B5B">
        <w:rPr>
          <w:lang w:eastAsia="nl-NL"/>
        </w:rPr>
        <w:t>Drenovac</w:t>
      </w:r>
      <w:proofErr w:type="spellEnd"/>
      <w:r w:rsidR="00732FE2" w:rsidRPr="00C40B5B">
        <w:rPr>
          <w:lang w:eastAsia="nl-NL"/>
        </w:rPr>
        <w:t>, and after 10</w:t>
      </w:r>
      <w:r w:rsidR="006556F3" w:rsidRPr="00C40B5B">
        <w:rPr>
          <w:lang w:eastAsia="nl-NL"/>
        </w:rPr>
        <w:t xml:space="preserve"> days he has been seen in </w:t>
      </w:r>
      <w:proofErr w:type="spellStart"/>
      <w:r w:rsidR="006556F3" w:rsidRPr="00C40B5B">
        <w:rPr>
          <w:lang w:eastAsia="nl-NL"/>
        </w:rPr>
        <w:t>Malisevo</w:t>
      </w:r>
      <w:proofErr w:type="spellEnd"/>
      <w:r w:rsidR="006556F3" w:rsidRPr="00C40B5B">
        <w:rPr>
          <w:lang w:eastAsia="nl-NL"/>
        </w:rPr>
        <w:t>.”</w:t>
      </w:r>
      <w:r w:rsidR="000F5160" w:rsidRPr="00C40B5B">
        <w:rPr>
          <w:lang w:eastAsia="nl-NL"/>
        </w:rPr>
        <w:t xml:space="preserve"> The document further states that </w:t>
      </w:r>
      <w:r w:rsidR="001E0B67" w:rsidRPr="00C40B5B">
        <w:rPr>
          <w:lang w:eastAsia="nl-NL"/>
        </w:rPr>
        <w:t>“</w:t>
      </w:r>
      <w:r w:rsidR="00470749" w:rsidRPr="00C40B5B">
        <w:rPr>
          <w:lang w:eastAsia="nl-NL"/>
        </w:rPr>
        <w:t>All</w:t>
      </w:r>
      <w:r w:rsidR="001E0B67" w:rsidRPr="00C40B5B">
        <w:rPr>
          <w:lang w:eastAsia="nl-NL"/>
        </w:rPr>
        <w:t xml:space="preserve"> kidnapped persons have been transported by bus whose owner is V.T. from Orahovac</w:t>
      </w:r>
      <w:r w:rsidR="00470749" w:rsidRPr="00C40B5B">
        <w:rPr>
          <w:lang w:eastAsia="nl-NL"/>
        </w:rPr>
        <w:t xml:space="preserve"> and by truck of S.B. from the v</w:t>
      </w:r>
      <w:r w:rsidR="001E0B67" w:rsidRPr="00C40B5B">
        <w:rPr>
          <w:lang w:eastAsia="nl-NL"/>
        </w:rPr>
        <w:t xml:space="preserve">illage of </w:t>
      </w:r>
      <w:proofErr w:type="spellStart"/>
      <w:r w:rsidR="001E0B67" w:rsidRPr="00C40B5B">
        <w:rPr>
          <w:lang w:eastAsia="nl-NL"/>
        </w:rPr>
        <w:t>Vranjak</w:t>
      </w:r>
      <w:proofErr w:type="spellEnd"/>
      <w:r w:rsidR="00470749" w:rsidRPr="00C40B5B">
        <w:rPr>
          <w:lang w:eastAsia="nl-NL"/>
        </w:rPr>
        <w:t>. Personal documents of kidnapped persons have been found in the building of ‘</w:t>
      </w:r>
      <w:proofErr w:type="spellStart"/>
      <w:r w:rsidR="00470749" w:rsidRPr="00C40B5B">
        <w:rPr>
          <w:lang w:eastAsia="nl-NL"/>
        </w:rPr>
        <w:t>Jaha</w:t>
      </w:r>
      <w:proofErr w:type="spellEnd"/>
      <w:r w:rsidR="00470749" w:rsidRPr="00C40B5B">
        <w:rPr>
          <w:lang w:eastAsia="nl-NL"/>
        </w:rPr>
        <w:t xml:space="preserve"> Petrol’, ownership of D.J. On the barricades in </w:t>
      </w:r>
      <w:proofErr w:type="spellStart"/>
      <w:r w:rsidR="00470749" w:rsidRPr="00C40B5B">
        <w:rPr>
          <w:lang w:eastAsia="nl-NL"/>
        </w:rPr>
        <w:t>Orhaovac</w:t>
      </w:r>
      <w:proofErr w:type="spellEnd"/>
      <w:r w:rsidR="00470749" w:rsidRPr="00C40B5B">
        <w:rPr>
          <w:lang w:eastAsia="nl-NL"/>
        </w:rPr>
        <w:t xml:space="preserve"> have been found been found bus, truck, dredging machine and two tractors of the company S.H., ownership of S.S.”</w:t>
      </w:r>
      <w:r w:rsidR="001E0B67" w:rsidRPr="00C40B5B">
        <w:rPr>
          <w:lang w:eastAsia="nl-NL"/>
        </w:rPr>
        <w:t xml:space="preserve"> </w:t>
      </w:r>
      <w:r w:rsidR="00732FE2" w:rsidRPr="00C40B5B">
        <w:rPr>
          <w:lang w:eastAsia="nl-NL"/>
        </w:rPr>
        <w:t>In total, the document provides the names of one potential witness and six possible perpetrators, with the towns</w:t>
      </w:r>
      <w:r w:rsidR="00E06C0F" w:rsidRPr="00C40B5B">
        <w:rPr>
          <w:lang w:eastAsia="nl-NL"/>
        </w:rPr>
        <w:t xml:space="preserve"> and</w:t>
      </w:r>
      <w:r w:rsidR="0008757D" w:rsidRPr="00C40B5B">
        <w:rPr>
          <w:lang w:eastAsia="nl-NL"/>
        </w:rPr>
        <w:t xml:space="preserve"> </w:t>
      </w:r>
      <w:r w:rsidR="00732FE2" w:rsidRPr="00C40B5B">
        <w:rPr>
          <w:lang w:eastAsia="nl-NL"/>
        </w:rPr>
        <w:t xml:space="preserve">villages where most </w:t>
      </w:r>
      <w:r w:rsidR="009F4A44" w:rsidRPr="00C40B5B">
        <w:rPr>
          <w:lang w:eastAsia="nl-NL"/>
        </w:rPr>
        <w:t xml:space="preserve">of these persons </w:t>
      </w:r>
      <w:r w:rsidR="003E15BD" w:rsidRPr="00C40B5B">
        <w:rPr>
          <w:lang w:eastAsia="nl-NL"/>
        </w:rPr>
        <w:t>were</w:t>
      </w:r>
      <w:r w:rsidR="00732FE2" w:rsidRPr="00C40B5B">
        <w:rPr>
          <w:lang w:eastAsia="nl-NL"/>
        </w:rPr>
        <w:t xml:space="preserve"> located.</w:t>
      </w:r>
    </w:p>
    <w:p w:rsidR="0032173D" w:rsidRPr="00C40B5B" w:rsidRDefault="0032173D" w:rsidP="0032173D">
      <w:pPr>
        <w:pStyle w:val="ListParagraph"/>
        <w:suppressAutoHyphens w:val="0"/>
        <w:ind w:left="360"/>
        <w:jc w:val="both"/>
        <w:rPr>
          <w:lang w:eastAsia="nl-NL"/>
        </w:rPr>
      </w:pPr>
    </w:p>
    <w:p w:rsidR="0032173D" w:rsidRPr="00C40B5B" w:rsidRDefault="0032173D" w:rsidP="00124B43">
      <w:pPr>
        <w:pStyle w:val="ListParagraph"/>
        <w:numPr>
          <w:ilvl w:val="0"/>
          <w:numId w:val="12"/>
        </w:numPr>
        <w:suppressAutoHyphens w:val="0"/>
        <w:jc w:val="both"/>
        <w:rPr>
          <w:lang w:eastAsia="nl-NL"/>
        </w:rPr>
      </w:pPr>
      <w:r w:rsidRPr="00C40B5B">
        <w:rPr>
          <w:lang w:eastAsia="nl-NL"/>
        </w:rPr>
        <w:t xml:space="preserve">The SRSG provided to the Panel the EULEX WCIU files regarding the disappearance of </w:t>
      </w:r>
      <w:r w:rsidR="00451E17" w:rsidRPr="00C40B5B">
        <w:rPr>
          <w:lang w:eastAsia="nl-NL"/>
        </w:rPr>
        <w:t>Mr</w:t>
      </w:r>
      <w:r w:rsidRPr="00C40B5B">
        <w:rPr>
          <w:lang w:eastAsia="nl-NL"/>
        </w:rPr>
        <w:t xml:space="preserve"> </w:t>
      </w:r>
      <w:proofErr w:type="spellStart"/>
      <w:r w:rsidR="007E1DB1" w:rsidRPr="00C40B5B">
        <w:rPr>
          <w:lang w:eastAsia="nl-NL"/>
        </w:rPr>
        <w:t>Tomić</w:t>
      </w:r>
      <w:proofErr w:type="spellEnd"/>
      <w:r w:rsidRPr="00C40B5B">
        <w:rPr>
          <w:lang w:eastAsia="nl-NL"/>
        </w:rPr>
        <w:t xml:space="preserve"> as part of its disclosure. As such it can be reasoned that the file remained open and transferred to EULEX by UNMIK during the transition period of 2008-2009.</w:t>
      </w:r>
      <w:r w:rsidR="00D524D4" w:rsidRPr="00C40B5B">
        <w:rPr>
          <w:lang w:eastAsia="nl-NL"/>
        </w:rPr>
        <w:t xml:space="preserve"> </w:t>
      </w:r>
    </w:p>
    <w:p w:rsidR="001013E5" w:rsidRDefault="001013E5" w:rsidP="001013E5">
      <w:pPr>
        <w:pStyle w:val="ListParagraph"/>
        <w:suppressAutoHyphens w:val="0"/>
        <w:ind w:left="360"/>
        <w:jc w:val="both"/>
        <w:rPr>
          <w:lang w:eastAsia="nl-NL"/>
        </w:rPr>
      </w:pPr>
    </w:p>
    <w:p w:rsidR="00651093" w:rsidRPr="00C40B5B" w:rsidRDefault="00651093" w:rsidP="001013E5">
      <w:pPr>
        <w:pStyle w:val="ListParagraph"/>
        <w:suppressAutoHyphens w:val="0"/>
        <w:ind w:left="360"/>
        <w:jc w:val="both"/>
        <w:rPr>
          <w:lang w:eastAsia="nl-NL"/>
        </w:rPr>
      </w:pPr>
    </w:p>
    <w:bookmarkEnd w:id="10"/>
    <w:bookmarkEnd w:id="11"/>
    <w:bookmarkEnd w:id="12"/>
    <w:bookmarkEnd w:id="13"/>
    <w:p w:rsidR="00B202AE" w:rsidRPr="00C40B5B" w:rsidRDefault="00B202AE" w:rsidP="00B202AE">
      <w:pPr>
        <w:suppressAutoHyphens/>
        <w:autoSpaceDE w:val="0"/>
        <w:jc w:val="both"/>
        <w:rPr>
          <w:b/>
          <w:bCs/>
        </w:rPr>
      </w:pPr>
    </w:p>
    <w:p w:rsidR="00124C66" w:rsidRPr="00C40B5B" w:rsidRDefault="00124C66" w:rsidP="00B202AE">
      <w:pPr>
        <w:numPr>
          <w:ilvl w:val="0"/>
          <w:numId w:val="1"/>
        </w:numPr>
        <w:suppressAutoHyphens/>
        <w:autoSpaceDE w:val="0"/>
        <w:ind w:left="360" w:hanging="360"/>
        <w:jc w:val="both"/>
        <w:rPr>
          <w:b/>
          <w:bCs/>
        </w:rPr>
      </w:pPr>
      <w:r w:rsidRPr="00C40B5B">
        <w:rPr>
          <w:b/>
          <w:bCs/>
        </w:rPr>
        <w:lastRenderedPageBreak/>
        <w:t>THE COMPLAINT</w:t>
      </w:r>
    </w:p>
    <w:p w:rsidR="00124C66" w:rsidRPr="00C40B5B" w:rsidRDefault="00124C66" w:rsidP="00124C66"/>
    <w:p w:rsidR="00124C66" w:rsidRPr="00C40B5B" w:rsidRDefault="00F12F42" w:rsidP="00124C66">
      <w:pPr>
        <w:pStyle w:val="ListParagraph"/>
        <w:numPr>
          <w:ilvl w:val="0"/>
          <w:numId w:val="12"/>
        </w:numPr>
        <w:suppressAutoHyphens w:val="0"/>
        <w:jc w:val="both"/>
        <w:rPr>
          <w:lang w:eastAsia="nl-NL"/>
        </w:rPr>
      </w:pPr>
      <w:r w:rsidRPr="00C40B5B">
        <w:t>The complainant</w:t>
      </w:r>
      <w:r w:rsidR="007A6FCD" w:rsidRPr="00C40B5B">
        <w:t xml:space="preserve"> complain</w:t>
      </w:r>
      <w:r w:rsidR="00C45577" w:rsidRPr="00C40B5B">
        <w:t>s</w:t>
      </w:r>
      <w:r w:rsidRPr="00C40B5B">
        <w:t xml:space="preserve"> about UNMIK’s alleged failure to properly investigate the </w:t>
      </w:r>
      <w:r w:rsidR="00124C66" w:rsidRPr="00C40B5B">
        <w:t xml:space="preserve">abduction and </w:t>
      </w:r>
      <w:r w:rsidR="00EA506C" w:rsidRPr="00C40B5B">
        <w:t>killing o</w:t>
      </w:r>
      <w:r w:rsidRPr="00C40B5B">
        <w:t xml:space="preserve">f </w:t>
      </w:r>
      <w:r w:rsidR="00124C66"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351024" w:rsidRPr="00C40B5B">
        <w:t>.</w:t>
      </w:r>
      <w:r w:rsidRPr="00C40B5B">
        <w:t xml:space="preserve"> In this regard</w:t>
      </w:r>
      <w:r w:rsidR="008637CF" w:rsidRPr="00C40B5B">
        <w:t>,</w:t>
      </w:r>
      <w:r w:rsidRPr="00C40B5B">
        <w:t xml:space="preserve"> the Panel deems that </w:t>
      </w:r>
      <w:r w:rsidR="006F35D0" w:rsidRPr="00C40B5B">
        <w:t>the complainant</w:t>
      </w:r>
      <w:r w:rsidRPr="00C40B5B">
        <w:t xml:space="preserve"> invoke</w:t>
      </w:r>
      <w:r w:rsidR="0080248B" w:rsidRPr="00C40B5B">
        <w:t>s</w:t>
      </w:r>
      <w:r w:rsidRPr="00C40B5B">
        <w:t xml:space="preserve"> a violation of the procedural limb of Article 2 of the European Convention on Human Rights (ECHR).</w:t>
      </w:r>
    </w:p>
    <w:p w:rsidR="00124C66" w:rsidRDefault="00124C66" w:rsidP="00124C66">
      <w:pPr>
        <w:autoSpaceDE w:val="0"/>
        <w:jc w:val="both"/>
        <w:rPr>
          <w:b/>
          <w:bCs/>
        </w:rPr>
      </w:pPr>
    </w:p>
    <w:p w:rsidR="00651093" w:rsidRPr="00C40B5B" w:rsidRDefault="00651093" w:rsidP="00124C66">
      <w:pPr>
        <w:autoSpaceDE w:val="0"/>
        <w:jc w:val="both"/>
        <w:rPr>
          <w:b/>
          <w:bCs/>
        </w:rPr>
      </w:pPr>
    </w:p>
    <w:p w:rsidR="00124C66" w:rsidRPr="00C40B5B" w:rsidRDefault="00124C66" w:rsidP="00124C66">
      <w:pPr>
        <w:numPr>
          <w:ilvl w:val="0"/>
          <w:numId w:val="1"/>
        </w:numPr>
        <w:suppressAutoHyphens/>
        <w:autoSpaceDE w:val="0"/>
        <w:ind w:left="360" w:hanging="360"/>
        <w:jc w:val="both"/>
        <w:rPr>
          <w:b/>
          <w:bCs/>
        </w:rPr>
      </w:pPr>
      <w:r w:rsidRPr="00C40B5B">
        <w:rPr>
          <w:b/>
          <w:bCs/>
        </w:rPr>
        <w:t>THE LAW</w:t>
      </w:r>
    </w:p>
    <w:p w:rsidR="00124C66" w:rsidRPr="00C40B5B" w:rsidRDefault="00124C66" w:rsidP="00124C66">
      <w:pPr>
        <w:suppressAutoHyphens/>
        <w:autoSpaceDE w:val="0"/>
        <w:jc w:val="both"/>
        <w:rPr>
          <w:bCs/>
        </w:rPr>
      </w:pPr>
    </w:p>
    <w:p w:rsidR="00124C66" w:rsidRPr="00C40B5B" w:rsidRDefault="00124C66" w:rsidP="00124C66">
      <w:pPr>
        <w:pStyle w:val="Default"/>
        <w:numPr>
          <w:ilvl w:val="0"/>
          <w:numId w:val="4"/>
        </w:numPr>
        <w:jc w:val="both"/>
        <w:rPr>
          <w:b/>
          <w:color w:val="auto"/>
          <w:lang w:val="en-GB"/>
        </w:rPr>
      </w:pPr>
      <w:r w:rsidRPr="00C40B5B">
        <w:rPr>
          <w:b/>
          <w:color w:val="auto"/>
          <w:lang w:val="en-GB"/>
        </w:rPr>
        <w:t>Alleged violation of the procedural obligation under</w:t>
      </w:r>
      <w:r w:rsidRPr="00C40B5B">
        <w:rPr>
          <w:b/>
          <w:i/>
          <w:color w:val="auto"/>
          <w:lang w:val="en-GB"/>
        </w:rPr>
        <w:t xml:space="preserve"> </w:t>
      </w:r>
      <w:r w:rsidRPr="00C40B5B">
        <w:rPr>
          <w:b/>
          <w:color w:val="auto"/>
          <w:lang w:val="en-GB"/>
        </w:rPr>
        <w:t xml:space="preserve">Article 2 of the ECHR </w:t>
      </w:r>
    </w:p>
    <w:p w:rsidR="00124C66" w:rsidRPr="00C40B5B" w:rsidRDefault="00124C66" w:rsidP="00124C66">
      <w:pPr>
        <w:tabs>
          <w:tab w:val="left" w:pos="630"/>
          <w:tab w:val="left" w:pos="2790"/>
        </w:tabs>
        <w:suppressAutoHyphens/>
        <w:autoSpaceDE w:val="0"/>
        <w:jc w:val="both"/>
        <w:rPr>
          <w:bCs/>
        </w:rPr>
      </w:pPr>
    </w:p>
    <w:p w:rsidR="00124C66" w:rsidRPr="00C40B5B" w:rsidRDefault="00124C66" w:rsidP="00124C66">
      <w:pPr>
        <w:pStyle w:val="ListParagraph"/>
        <w:numPr>
          <w:ilvl w:val="1"/>
          <w:numId w:val="1"/>
        </w:numPr>
        <w:tabs>
          <w:tab w:val="clear" w:pos="360"/>
          <w:tab w:val="left" w:pos="357"/>
        </w:tabs>
        <w:autoSpaceDE w:val="0"/>
        <w:contextualSpacing/>
        <w:jc w:val="both"/>
        <w:rPr>
          <w:b/>
          <w:bCs/>
        </w:rPr>
      </w:pPr>
      <w:r w:rsidRPr="00C40B5B">
        <w:rPr>
          <w:b/>
          <w:bCs/>
        </w:rPr>
        <w:t>The scope of the Panel’s review</w:t>
      </w:r>
    </w:p>
    <w:p w:rsidR="00124C66" w:rsidRPr="00C40B5B" w:rsidRDefault="00124C66" w:rsidP="00124C66">
      <w:pPr>
        <w:pStyle w:val="ListParagraph"/>
        <w:suppressAutoHyphens w:val="0"/>
        <w:ind w:left="360"/>
        <w:jc w:val="both"/>
        <w:rPr>
          <w:lang w:eastAsia="nl-NL"/>
        </w:rPr>
      </w:pPr>
    </w:p>
    <w:p w:rsidR="00124C66" w:rsidRPr="00C40B5B" w:rsidRDefault="001D2C42" w:rsidP="00124C66">
      <w:pPr>
        <w:pStyle w:val="ListParagraph"/>
        <w:numPr>
          <w:ilvl w:val="0"/>
          <w:numId w:val="12"/>
        </w:numPr>
        <w:suppressAutoHyphens w:val="0"/>
        <w:jc w:val="both"/>
        <w:rPr>
          <w:lang w:eastAsia="nl-NL"/>
        </w:rPr>
      </w:pPr>
      <w:r w:rsidRPr="00C40B5B">
        <w:rPr>
          <w:bCs/>
        </w:rPr>
        <w:t>Before turning to the examination of the merits of the complaint, the Panel needs to clarify the scope of its review.</w:t>
      </w:r>
      <w:bookmarkStart w:id="14" w:name="_Ref366160496"/>
    </w:p>
    <w:p w:rsidR="00124C66" w:rsidRPr="00C40B5B" w:rsidRDefault="00124C66" w:rsidP="00124C66">
      <w:pPr>
        <w:pStyle w:val="ListParagraph"/>
        <w:suppressAutoHyphens w:val="0"/>
        <w:ind w:left="360"/>
        <w:jc w:val="both"/>
        <w:rPr>
          <w:lang w:eastAsia="nl-NL"/>
        </w:rPr>
      </w:pPr>
    </w:p>
    <w:p w:rsidR="00124C66" w:rsidRPr="00C40B5B" w:rsidRDefault="007262D2" w:rsidP="00124C66">
      <w:pPr>
        <w:pStyle w:val="ListParagraph"/>
        <w:numPr>
          <w:ilvl w:val="0"/>
          <w:numId w:val="12"/>
        </w:numPr>
        <w:suppressAutoHyphens w:val="0"/>
        <w:jc w:val="both"/>
        <w:rPr>
          <w:lang w:eastAsia="nl-NL"/>
        </w:rPr>
      </w:pPr>
      <w:r w:rsidRPr="00C40B5B">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4"/>
      <w:r w:rsidRPr="00C40B5B">
        <w:t xml:space="preserve"> </w:t>
      </w:r>
      <w:bookmarkStart w:id="15" w:name="_Ref347321462"/>
      <w:bookmarkStart w:id="16" w:name="_Ref317418022"/>
    </w:p>
    <w:p w:rsidR="00124C66" w:rsidRPr="00C40B5B" w:rsidRDefault="00124C66" w:rsidP="00124C66">
      <w:pPr>
        <w:pStyle w:val="ListParagraph"/>
        <w:suppressAutoHyphens w:val="0"/>
        <w:ind w:left="360"/>
        <w:jc w:val="both"/>
        <w:rPr>
          <w:lang w:eastAsia="nl-NL"/>
        </w:rPr>
      </w:pPr>
    </w:p>
    <w:p w:rsidR="00124C66" w:rsidRPr="00C40B5B" w:rsidRDefault="007262D2" w:rsidP="00124C66">
      <w:pPr>
        <w:pStyle w:val="ListParagraph"/>
        <w:numPr>
          <w:ilvl w:val="0"/>
          <w:numId w:val="12"/>
        </w:numPr>
        <w:suppressAutoHyphens w:val="0"/>
        <w:jc w:val="both"/>
        <w:rPr>
          <w:lang w:eastAsia="nl-NL"/>
        </w:rPr>
      </w:pPr>
      <w:r w:rsidRPr="00C40B5B">
        <w:rPr>
          <w:lang w:eastAsia="nl-BE"/>
        </w:rPr>
        <w:t xml:space="preserve">The </w:t>
      </w:r>
      <w:r w:rsidRPr="00C40B5B">
        <w:rPr>
          <w:bCs/>
        </w:rPr>
        <w:t>Panel</w:t>
      </w:r>
      <w:r w:rsidRPr="00C40B5B">
        <w:rPr>
          <w:lang w:eastAsia="nl-BE"/>
        </w:rPr>
        <w:t xml:space="preserve"> notes that with the adoption of the UNMIK Regulation No. 1999/1 on 25 July 1999 UNMIK undertook an obligation to observe internationally recognised human </w:t>
      </w:r>
      <w:r w:rsidRPr="00C40B5B">
        <w:rPr>
          <w:bCs/>
        </w:rPr>
        <w:t>rights</w:t>
      </w:r>
      <w:r w:rsidRPr="00C40B5B">
        <w:rPr>
          <w:lang w:eastAsia="nl-BE"/>
        </w:rPr>
        <w:t xml:space="preserve"> standards in exercising its functions. This undertaking was detailed  in UNMIK Regulation No. 1999/24 of 12 December 1999, by which UNMIK assumed obligations under the following human rights instruments</w:t>
      </w:r>
      <w:r w:rsidRPr="00C40B5B">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C40B5B">
          <w:rPr>
            <w:rStyle w:val="Hyperlink"/>
            <w:color w:val="auto"/>
            <w:u w:val="none"/>
          </w:rPr>
          <w:t>the Convention Against Torture and Other Cruel, Inhuman or Degrading Treatment or Punishment</w:t>
        </w:r>
      </w:hyperlink>
      <w:r w:rsidRPr="00C40B5B">
        <w:t>, the Convention on the Rights of the Child.</w:t>
      </w:r>
      <w:bookmarkStart w:id="17" w:name="_Ref317493050"/>
      <w:bookmarkStart w:id="18" w:name="_Ref347495661"/>
      <w:bookmarkEnd w:id="15"/>
    </w:p>
    <w:p w:rsidR="00124C66" w:rsidRPr="00C40B5B" w:rsidRDefault="00124C66" w:rsidP="00124C66">
      <w:pPr>
        <w:pStyle w:val="ListParagraph"/>
        <w:rPr>
          <w:rFonts w:cs="CAGLHH+TimesNewRoman"/>
        </w:rPr>
      </w:pPr>
    </w:p>
    <w:p w:rsidR="00124C66" w:rsidRPr="00C40B5B" w:rsidRDefault="007262D2" w:rsidP="00124C66">
      <w:pPr>
        <w:pStyle w:val="ListParagraph"/>
        <w:numPr>
          <w:ilvl w:val="0"/>
          <w:numId w:val="12"/>
        </w:numPr>
        <w:suppressAutoHyphens w:val="0"/>
        <w:jc w:val="both"/>
        <w:rPr>
          <w:lang w:eastAsia="nl-NL"/>
        </w:rPr>
      </w:pPr>
      <w:r w:rsidRPr="00C40B5B">
        <w:rPr>
          <w:rFonts w:cs="CAGLHH+TimesNewRoman"/>
        </w:rPr>
        <w:t xml:space="preserve">The Panel also notes that Section 1.2 of </w:t>
      </w:r>
      <w:r w:rsidRPr="00C40B5B">
        <w:rPr>
          <w:bCs/>
        </w:rPr>
        <w:t xml:space="preserve">UNMIK Regulation No. 2006/12 of 23 March 2006 on the Establishment of the Human Rights Advisory Panel </w:t>
      </w:r>
      <w:r w:rsidRPr="00C40B5B">
        <w:rPr>
          <w:rFonts w:cs="CAGLHH+TimesNewRoman"/>
        </w:rPr>
        <w:t xml:space="preserve">provides that the Panel “shall examine complaints from any person or group of individuals claiming to be the victim of a </w:t>
      </w:r>
      <w:r w:rsidRPr="00C40B5B">
        <w:rPr>
          <w:rFonts w:cs="CAGLHH+TimesNewRoman"/>
        </w:rPr>
        <w:lastRenderedPageBreak/>
        <w:t xml:space="preserve">violation by UNMIK of (their) human rights”. It </w:t>
      </w:r>
      <w:r w:rsidRPr="00C40B5B">
        <w:rPr>
          <w:bCs/>
        </w:rPr>
        <w:t>follows</w:t>
      </w:r>
      <w:r w:rsidRPr="00C40B5B">
        <w:rPr>
          <w:rFonts w:cs="CAGLHH+TimesNewRoman"/>
        </w:rPr>
        <w:t xml:space="preserve"> that only acts or omissions attributable to UNMIK fall within the jurisdiction </w:t>
      </w:r>
      <w:r w:rsidRPr="00C40B5B">
        <w:rPr>
          <w:rFonts w:cs="CAGLHH+TimesNewRoman"/>
          <w:i/>
        </w:rPr>
        <w:t>ratione personae</w:t>
      </w:r>
      <w:r w:rsidRPr="00C40B5B">
        <w:rPr>
          <w:rFonts w:cs="CAGLHH+TimesNewRoman"/>
        </w:rPr>
        <w:t xml:space="preserve"> of the Panel. In this respect, it should be noted, as stated above, that as of </w:t>
      </w:r>
      <w:r w:rsidRPr="00C40B5B">
        <w:t xml:space="preserve">9 December 2008, UNMIK </w:t>
      </w:r>
      <w:r w:rsidRPr="00C40B5B">
        <w:rPr>
          <w:bCs/>
        </w:rPr>
        <w:t>no longer exercises executive authority over the Kosovo judiciary and law enforcement machinery. Therefore UNMIK bears no responsibility for any violation of human rights allegedly committed by those bodies. Insofar as the complainant</w:t>
      </w:r>
      <w:r w:rsidR="0097400B" w:rsidRPr="00C40B5B">
        <w:rPr>
          <w:bCs/>
        </w:rPr>
        <w:t>s</w:t>
      </w:r>
      <w:r w:rsidRPr="00C40B5B">
        <w:rPr>
          <w:bCs/>
        </w:rPr>
        <w:t xml:space="preserve"> complain about acts that occurred after that date, they fall outside the jurisdiction </w:t>
      </w:r>
      <w:r w:rsidRPr="00C40B5B">
        <w:rPr>
          <w:bCs/>
          <w:i/>
        </w:rPr>
        <w:t>ratione personae</w:t>
      </w:r>
      <w:r w:rsidRPr="00C40B5B">
        <w:rPr>
          <w:bCs/>
        </w:rPr>
        <w:t xml:space="preserve"> of the Panel.</w:t>
      </w:r>
      <w:bookmarkEnd w:id="17"/>
      <w:bookmarkEnd w:id="18"/>
    </w:p>
    <w:p w:rsidR="00124C66" w:rsidRPr="00C40B5B" w:rsidRDefault="008846FC" w:rsidP="00124C66">
      <w:pPr>
        <w:pStyle w:val="ListParagraph"/>
        <w:rPr>
          <w:rFonts w:cs="CAGLHH+TimesNewRoman"/>
        </w:rPr>
      </w:pPr>
      <w:r w:rsidRPr="00C40B5B">
        <w:rPr>
          <w:rFonts w:cs="CAGLHH+TimesNewRoman"/>
        </w:rPr>
        <w:t xml:space="preserve"> </w:t>
      </w:r>
    </w:p>
    <w:p w:rsidR="00124C66" w:rsidRPr="00C40B5B" w:rsidRDefault="007262D2" w:rsidP="00124C66">
      <w:pPr>
        <w:pStyle w:val="ListParagraph"/>
        <w:numPr>
          <w:ilvl w:val="0"/>
          <w:numId w:val="12"/>
        </w:numPr>
        <w:suppressAutoHyphens w:val="0"/>
        <w:jc w:val="both"/>
        <w:rPr>
          <w:lang w:eastAsia="nl-NL"/>
        </w:rPr>
      </w:pPr>
      <w:r w:rsidRPr="00C40B5B">
        <w:rPr>
          <w:rFonts w:cs="CAGLHH+TimesNewRoman"/>
        </w:rPr>
        <w:t xml:space="preserve">Likewise, the Panel emphasises that, as far as its jurisdiction </w:t>
      </w:r>
      <w:r w:rsidRPr="00C40B5B">
        <w:rPr>
          <w:rFonts w:cs="CAGLHH+TimesNewRoman"/>
          <w:i/>
        </w:rPr>
        <w:t>ratione materiae</w:t>
      </w:r>
      <w:r w:rsidRPr="00C40B5B">
        <w:rPr>
          <w:rFonts w:cs="CAGLHH+TimesNewRoman"/>
        </w:rPr>
        <w:t xml:space="preserve"> is concerned, as follows from Section 1.2 of UNMIK Regulation No. 2006/12, it can only examine co</w:t>
      </w:r>
      <w:r w:rsidR="0032173D" w:rsidRPr="00C40B5B">
        <w:rPr>
          <w:rFonts w:cs="CAGLHH+TimesNewRoman"/>
        </w:rPr>
        <w:t>mplaints relating to an alleged</w:t>
      </w:r>
      <w:r w:rsidR="004B5545" w:rsidRPr="00C40B5B">
        <w:rPr>
          <w:rFonts w:cs="CAGLHH+TimesNewRoman"/>
        </w:rPr>
        <w:t xml:space="preserve"> </w:t>
      </w:r>
      <w:r w:rsidRPr="00C40B5B">
        <w:rPr>
          <w:rFonts w:cs="CAGLHH+TimesNewRoman"/>
        </w:rPr>
        <w:t xml:space="preserve">violation of human rights. This means that it can only review acts or omissions complained of for their compatibility with the international human rights instruments referred to above (see § </w:t>
      </w:r>
      <w:r w:rsidR="00C43716" w:rsidRPr="00C40B5B">
        <w:t>41</w:t>
      </w:r>
      <w:r w:rsidRPr="00C40B5B">
        <w:rPr>
          <w:rFonts w:cs="CAGLHH+TimesNewRoman"/>
        </w:rPr>
        <w:t>).</w:t>
      </w:r>
      <w:r w:rsidRPr="00C40B5B">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19" w:name="_Ref346123885"/>
    </w:p>
    <w:p w:rsidR="00124C66" w:rsidRPr="00C40B5B" w:rsidRDefault="00124C66" w:rsidP="00124C66">
      <w:pPr>
        <w:pStyle w:val="ListParagraph"/>
        <w:rPr>
          <w:bCs/>
        </w:rPr>
      </w:pPr>
    </w:p>
    <w:p w:rsidR="00124C66" w:rsidRPr="00C40B5B" w:rsidRDefault="007262D2" w:rsidP="00124C66">
      <w:pPr>
        <w:pStyle w:val="ListParagraph"/>
        <w:numPr>
          <w:ilvl w:val="0"/>
          <w:numId w:val="12"/>
        </w:numPr>
        <w:suppressAutoHyphens w:val="0"/>
        <w:jc w:val="both"/>
        <w:rPr>
          <w:lang w:eastAsia="nl-NL"/>
        </w:rPr>
      </w:pPr>
      <w:r w:rsidRPr="00C40B5B">
        <w:rPr>
          <w:bCs/>
        </w:rPr>
        <w:t>The Panel further notes that Section 2 of UNMIK Regulation No. 2006/12 provides that t</w:t>
      </w:r>
      <w:r w:rsidRPr="00C40B5B">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C40B5B">
        <w:rPr>
          <w:rFonts w:cs="CAGLHH+TimesNewRoman"/>
          <w:i/>
        </w:rPr>
        <w:t>ratione temporis</w:t>
      </w:r>
      <w:r w:rsidRPr="00C40B5B">
        <w:rPr>
          <w:rFonts w:cs="CAGLHH+TimesNewRoman"/>
        </w:rPr>
        <w:t xml:space="preserve"> of the Panel. However, to the extent that such events gave rise to a continuing situation, the Panel has jurisdiction to examine complaints relating to that situation</w:t>
      </w:r>
      <w:bookmarkEnd w:id="16"/>
      <w:r w:rsidRPr="00C40B5B">
        <w:rPr>
          <w:rFonts w:cs="CAGLHH+TimesNewRoman"/>
        </w:rPr>
        <w:t xml:space="preserve"> (see European Court of Human Rights (ECtHR), Grand Chamber [GC], </w:t>
      </w:r>
      <w:r w:rsidRPr="00C40B5B">
        <w:rPr>
          <w:rFonts w:cs="CAGLHH+TimesNewRoman"/>
          <w:i/>
        </w:rPr>
        <w:t>Varnava and Others v. Turkey</w:t>
      </w:r>
      <w:r w:rsidRPr="00C40B5B">
        <w:rPr>
          <w:rFonts w:cs="CAGLHH+TimesNewRoman"/>
        </w:rPr>
        <w:t xml:space="preserve">, nos. 16064/90 and others, judgment of 18 September 2009, §§ 147-149; ECtHR, </w:t>
      </w:r>
      <w:r w:rsidRPr="00C40B5B">
        <w:rPr>
          <w:rFonts w:cs="CAGLHH+TimesNewRoman"/>
          <w:i/>
        </w:rPr>
        <w:t xml:space="preserve">Cyprus v. Turkey </w:t>
      </w:r>
      <w:r w:rsidRPr="00C40B5B">
        <w:rPr>
          <w:rFonts w:cs="CAGLHH+TimesNewRoman"/>
        </w:rPr>
        <w:t xml:space="preserve">[GC] no. </w:t>
      </w:r>
      <w:r w:rsidRPr="00C40B5B">
        <w:rPr>
          <w:rStyle w:val="s85f22697"/>
        </w:rPr>
        <w:t>25781/94, judgment of 10 May 2001,</w:t>
      </w:r>
      <w:r w:rsidRPr="00C40B5B">
        <w:rPr>
          <w:rFonts w:cs="CAGLHH+TimesNewRoman"/>
        </w:rPr>
        <w:t xml:space="preserve"> § 136, ECHR 2001-IV).</w:t>
      </w:r>
      <w:bookmarkEnd w:id="19"/>
      <w:r w:rsidRPr="00C40B5B">
        <w:rPr>
          <w:rFonts w:cs="CAGLHH+TimesNewRoman"/>
        </w:rPr>
        <w:t xml:space="preserve"> </w:t>
      </w:r>
    </w:p>
    <w:p w:rsidR="00046EBD" w:rsidRPr="00C40B5B" w:rsidRDefault="00046EBD" w:rsidP="00046EBD">
      <w:pPr>
        <w:jc w:val="both"/>
        <w:rPr>
          <w:lang w:eastAsia="nl-NL"/>
        </w:rPr>
      </w:pPr>
    </w:p>
    <w:p w:rsidR="00124C66" w:rsidRPr="00C40B5B" w:rsidRDefault="00124C66" w:rsidP="00124C66">
      <w:pPr>
        <w:pStyle w:val="ListParagraph"/>
        <w:numPr>
          <w:ilvl w:val="1"/>
          <w:numId w:val="1"/>
        </w:numPr>
        <w:autoSpaceDE w:val="0"/>
        <w:contextualSpacing/>
        <w:jc w:val="both"/>
        <w:rPr>
          <w:b/>
          <w:bCs/>
        </w:rPr>
      </w:pPr>
      <w:r w:rsidRPr="00C40B5B">
        <w:rPr>
          <w:b/>
          <w:bCs/>
        </w:rPr>
        <w:t xml:space="preserve">The Parties’ submissions </w:t>
      </w:r>
    </w:p>
    <w:p w:rsidR="00124C66" w:rsidRPr="00C40B5B" w:rsidRDefault="00124C66" w:rsidP="00124C66">
      <w:pPr>
        <w:pStyle w:val="ListParagraph"/>
      </w:pPr>
    </w:p>
    <w:p w:rsidR="00107C24" w:rsidRPr="00C40B5B" w:rsidRDefault="007A6FCD" w:rsidP="00107C24">
      <w:pPr>
        <w:pStyle w:val="ListParagraph"/>
        <w:numPr>
          <w:ilvl w:val="0"/>
          <w:numId w:val="12"/>
        </w:numPr>
        <w:suppressAutoHyphens w:val="0"/>
        <w:jc w:val="both"/>
        <w:rPr>
          <w:lang w:eastAsia="nl-NL"/>
        </w:rPr>
      </w:pPr>
      <w:r w:rsidRPr="00C40B5B">
        <w:t>The complainant in substance allege</w:t>
      </w:r>
      <w:r w:rsidR="0080248B" w:rsidRPr="00C40B5B">
        <w:t>s</w:t>
      </w:r>
      <w:r w:rsidR="006F35D0" w:rsidRPr="00C40B5B">
        <w:t xml:space="preserve"> a</w:t>
      </w:r>
      <w:r w:rsidRPr="00C40B5B">
        <w:t xml:space="preserve"> violation concerning the lack of an adequate criminal investigation into the</w:t>
      </w:r>
      <w:r w:rsidR="00124C66" w:rsidRPr="00C40B5B">
        <w:t xml:space="preserve"> abduction and</w:t>
      </w:r>
      <w:r w:rsidRPr="00C40B5B">
        <w:t xml:space="preserve"> </w:t>
      </w:r>
      <w:r w:rsidR="00EA6455" w:rsidRPr="00C40B5B">
        <w:t>killing</w:t>
      </w:r>
      <w:r w:rsidR="004B7B66" w:rsidRPr="00C40B5B">
        <w:t xml:space="preserve"> of </w:t>
      </w:r>
      <w:r w:rsidR="00C45577"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C45577" w:rsidRPr="00C40B5B">
        <w:t xml:space="preserve">. </w:t>
      </w:r>
    </w:p>
    <w:p w:rsidR="00107C24" w:rsidRPr="00C40B5B" w:rsidRDefault="00107C24" w:rsidP="00107C24">
      <w:pPr>
        <w:pStyle w:val="ListParagraph"/>
        <w:suppressAutoHyphens w:val="0"/>
        <w:ind w:left="360"/>
        <w:jc w:val="both"/>
        <w:rPr>
          <w:lang w:eastAsia="nl-NL"/>
        </w:rPr>
      </w:pPr>
    </w:p>
    <w:p w:rsidR="00107C24" w:rsidRPr="00C40B5B" w:rsidRDefault="00EA6455" w:rsidP="004D13F9">
      <w:pPr>
        <w:pStyle w:val="ListParagraph"/>
        <w:numPr>
          <w:ilvl w:val="0"/>
          <w:numId w:val="12"/>
        </w:numPr>
        <w:suppressAutoHyphens w:val="0"/>
        <w:jc w:val="both"/>
        <w:rPr>
          <w:lang w:eastAsia="nl-NL"/>
        </w:rPr>
      </w:pPr>
      <w:r w:rsidRPr="00C40B5B">
        <w:rPr>
          <w:bCs/>
        </w:rPr>
        <w:t>In his comments on the merits of the complaint, the SRSG</w:t>
      </w:r>
      <w:r w:rsidR="00107C24" w:rsidRPr="00C40B5B">
        <w:t xml:space="preserve"> acknowledges that the abduction of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107C24" w:rsidRPr="00C40B5B">
        <w:t xml:space="preserve"> </w:t>
      </w:r>
      <w:r w:rsidR="00107C24" w:rsidRPr="00C40B5B">
        <w:rPr>
          <w:bCs/>
        </w:rPr>
        <w:t xml:space="preserve">in June </w:t>
      </w:r>
      <w:r w:rsidR="008D159C" w:rsidRPr="00C40B5B">
        <w:rPr>
          <w:bCs/>
        </w:rPr>
        <w:t>1998</w:t>
      </w:r>
      <w:r w:rsidR="00107C24" w:rsidRPr="00C40B5B">
        <w:rPr>
          <w:bCs/>
        </w:rPr>
        <w:t xml:space="preserve"> </w:t>
      </w:r>
      <w:r w:rsidR="00107C24" w:rsidRPr="00C40B5B">
        <w:t>occurred in life threatening circumstances. He notes that at that time the security situation in Kosovo was tense: “KFOR was still in the process of reaching sufficient strength to maintain public safety and law and order and there were a number of serious criminal incidents targeting Kosovo-Serb</w:t>
      </w:r>
      <w:r w:rsidR="00850E2C" w:rsidRPr="00C40B5B">
        <w:t>ian</w:t>
      </w:r>
      <w:r w:rsidR="00107C24" w:rsidRPr="00C40B5B">
        <w:t xml:space="preserve">s, including abductions and killings”. </w:t>
      </w:r>
    </w:p>
    <w:p w:rsidR="008B5FCE" w:rsidRPr="00C40B5B" w:rsidRDefault="008B5FCE" w:rsidP="00733834">
      <w:pPr>
        <w:jc w:val="both"/>
      </w:pPr>
    </w:p>
    <w:p w:rsidR="008B5FCE" w:rsidRPr="00C40B5B" w:rsidRDefault="008B5FCE" w:rsidP="008B5FCE">
      <w:pPr>
        <w:pStyle w:val="ListParagraph"/>
        <w:numPr>
          <w:ilvl w:val="0"/>
          <w:numId w:val="12"/>
        </w:numPr>
        <w:suppressAutoHyphens w:val="0"/>
        <w:jc w:val="both"/>
        <w:rPr>
          <w:lang w:eastAsia="nl-NL"/>
        </w:rPr>
      </w:pPr>
      <w:r w:rsidRPr="00C40B5B">
        <w:t xml:space="preserve">The SRSG therefore accepts UNMIK’s responsibility to conduct an investigation in the case of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Pr="00C40B5B">
        <w:t xml:space="preserve"> under Article 2 of the ECHR, procedural part, stemming “from the procedural obligation to conduct an effective investigation where death occurs in suspicious circumstances not imputable to state agents”. In the words of the SRSG, “the essential purpose of such investigation is to secure the effective implementation of the domestic laws </w:t>
      </w:r>
      <w:r w:rsidRPr="00C40B5B">
        <w:lastRenderedPageBreak/>
        <w:t xml:space="preserve">which protect the right to life, as defined by UNMIK Regulation No. 1999/1 On the Authority of the Interim Administration in Kosovo of 25 July 1999 and subsequently, by UNMIK Regulation No. 1999/24 On the Law Applicable in Kosovo of 12 December 1999, as amended”. </w:t>
      </w:r>
    </w:p>
    <w:p w:rsidR="008B5FCE" w:rsidRPr="00C40B5B" w:rsidRDefault="008B5FCE" w:rsidP="008B5FCE">
      <w:pPr>
        <w:pStyle w:val="ListParagraph"/>
      </w:pPr>
    </w:p>
    <w:p w:rsidR="008B5FCE" w:rsidRPr="00C40B5B" w:rsidRDefault="008B5FCE" w:rsidP="008B5FCE">
      <w:pPr>
        <w:pStyle w:val="ListParagraph"/>
        <w:numPr>
          <w:ilvl w:val="0"/>
          <w:numId w:val="12"/>
        </w:numPr>
        <w:suppressAutoHyphens w:val="0"/>
        <w:jc w:val="both"/>
        <w:rPr>
          <w:lang w:eastAsia="nl-NL"/>
        </w:rPr>
      </w:pPr>
      <w:r w:rsidRPr="00C40B5B">
        <w:t xml:space="preserve">The </w:t>
      </w:r>
      <w:r w:rsidRPr="00C40B5B">
        <w:rPr>
          <w:bCs/>
        </w:rPr>
        <w:t>SRSG</w:t>
      </w:r>
      <w:r w:rsidRPr="00C40B5B">
        <w:t xml:space="preserve">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and/or death of the missing person.</w:t>
      </w:r>
    </w:p>
    <w:p w:rsidR="008B5FCE" w:rsidRPr="00C40B5B" w:rsidRDefault="008B5FCE" w:rsidP="008B5FCE">
      <w:pPr>
        <w:pStyle w:val="ListParagraph"/>
        <w:rPr>
          <w:lang w:eastAsia="nl-NL"/>
        </w:rPr>
      </w:pPr>
    </w:p>
    <w:p w:rsidR="008B5FCE" w:rsidRPr="00C40B5B" w:rsidRDefault="008B5FCE" w:rsidP="008B5FCE">
      <w:pPr>
        <w:pStyle w:val="ListParagraph"/>
        <w:numPr>
          <w:ilvl w:val="0"/>
          <w:numId w:val="12"/>
        </w:numPr>
        <w:suppressAutoHyphens w:val="0"/>
        <w:jc w:val="both"/>
        <w:rPr>
          <w:lang w:eastAsia="nl-NL"/>
        </w:rPr>
      </w:pPr>
      <w:r w:rsidRPr="00C40B5B">
        <w:rPr>
          <w:lang w:eastAsia="nl-NL"/>
        </w:rPr>
        <w:t xml:space="preserve">Nonetheless, according to the SRSG, when examining the complaint under Article 2, due consideration shall be given to “the difficulties inherent in post-conflict situations, and the concomitant problems that limit the ability of investigating authorities when conducting investigations of such nature”. The SRSG further observes that obligations under Article 2, must be interpreted in a way that does not impose an impossible or disproportionate burden on the authorities. In this regard, the SRSG recalls the judgment of 15 February 2011 rendered by the European Court of Human Rights in the case </w:t>
      </w:r>
      <w:r w:rsidRPr="00C40B5B">
        <w:rPr>
          <w:i/>
          <w:lang w:eastAsia="nl-NL"/>
        </w:rPr>
        <w:t>Palić v. Bosnia and Herzegovina</w:t>
      </w:r>
      <w:r w:rsidRPr="00C40B5B">
        <w:rPr>
          <w:lang w:eastAsia="nl-NL"/>
        </w:rPr>
        <w:t>, stating at paragraph 70:</w:t>
      </w:r>
    </w:p>
    <w:p w:rsidR="008B5FCE" w:rsidRPr="00C40B5B" w:rsidRDefault="008B5FCE" w:rsidP="008B5FCE">
      <w:pPr>
        <w:pStyle w:val="ListParagraph"/>
        <w:rPr>
          <w:lang w:eastAsia="nl-NL"/>
        </w:rPr>
      </w:pPr>
    </w:p>
    <w:p w:rsidR="008B5FCE" w:rsidRPr="00C40B5B" w:rsidRDefault="008B5FCE" w:rsidP="00027DA9">
      <w:pPr>
        <w:ind w:left="862" w:right="567"/>
        <w:jc w:val="both"/>
        <w:rPr>
          <w:lang w:eastAsia="nl-NL"/>
        </w:rPr>
      </w:pPr>
      <w:r w:rsidRPr="00C40B5B">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w:t>
      </w:r>
      <w:r w:rsidRPr="00027DA9">
        <w:rPr>
          <w:lang w:val="en-US" w:eastAsia="nl-NL"/>
        </w:rPr>
        <w:t>system</w:t>
      </w:r>
      <w:r w:rsidRPr="00C40B5B">
        <w:rPr>
          <w:lang w:eastAsia="nl-NL"/>
        </w:rPr>
        <w:t xml:space="preserve">: Entities and Cantons were set up pursuant to the Dayton Peace Agreement, power-sharing arrangements were introduced in order to ensure effective equality between the “constituent peoples” in the post-conflict society (see </w:t>
      </w:r>
      <w:proofErr w:type="spellStart"/>
      <w:r w:rsidRPr="00C40B5B">
        <w:rPr>
          <w:i/>
          <w:lang w:eastAsia="nl-NL"/>
        </w:rPr>
        <w:t>Sejdić</w:t>
      </w:r>
      <w:proofErr w:type="spellEnd"/>
      <w:r w:rsidRPr="00C40B5B">
        <w:rPr>
          <w:i/>
          <w:lang w:eastAsia="nl-NL"/>
        </w:rPr>
        <w:t xml:space="preserve"> and </w:t>
      </w:r>
      <w:proofErr w:type="spellStart"/>
      <w:r w:rsidRPr="00C40B5B">
        <w:rPr>
          <w:i/>
          <w:lang w:eastAsia="nl-NL"/>
        </w:rPr>
        <w:t>Finci</w:t>
      </w:r>
      <w:proofErr w:type="spellEnd"/>
      <w:r w:rsidRPr="00C40B5B">
        <w:rPr>
          <w:i/>
          <w:lang w:eastAsia="nl-NL"/>
        </w:rPr>
        <w:t xml:space="preserve"> v. Bosnia and Herzegovina</w:t>
      </w:r>
      <w:r w:rsidRPr="00C40B5B">
        <w:rPr>
          <w:lang w:eastAsia="nl-NL"/>
        </w:rPr>
        <w:t xml:space="preserve">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p>
    <w:p w:rsidR="008B5FCE" w:rsidRPr="00C40B5B" w:rsidRDefault="008B5FCE" w:rsidP="008B5FCE">
      <w:pPr>
        <w:tabs>
          <w:tab w:val="left" w:pos="709"/>
        </w:tabs>
        <w:suppressAutoHyphens/>
        <w:autoSpaceDE w:val="0"/>
        <w:ind w:left="709"/>
        <w:jc w:val="both"/>
        <w:rPr>
          <w:lang w:eastAsia="nl-NL"/>
        </w:rPr>
      </w:pPr>
    </w:p>
    <w:p w:rsidR="008B5FCE" w:rsidRPr="00C40B5B" w:rsidRDefault="008B5FCE" w:rsidP="00027DA9">
      <w:pPr>
        <w:ind w:left="862" w:right="567"/>
        <w:jc w:val="both"/>
        <w:rPr>
          <w:lang w:eastAsia="nl-NL"/>
        </w:rPr>
      </w:pPr>
      <w:r w:rsidRPr="00C40B5B">
        <w:rPr>
          <w:lang w:eastAsia="nl-NL"/>
        </w:rPr>
        <w:t xml:space="preserve">All this considered and since there has been no substantial period of inactivity post-2005 on the part of the domestic authorities in the present case, the Court concludes that, in the circumstances obtaining at the material time, the domestic </w:t>
      </w:r>
      <w:r w:rsidRPr="00C40B5B">
        <w:rPr>
          <w:lang w:eastAsia="nl-NL"/>
        </w:rPr>
        <w:lastRenderedPageBreak/>
        <w:t>criminal investigation can be considered to have been conducted with reasonable promptness and expedition”.</w:t>
      </w:r>
    </w:p>
    <w:p w:rsidR="008B5FCE" w:rsidRPr="00C40B5B" w:rsidRDefault="008B5FCE" w:rsidP="008B5FCE">
      <w:pPr>
        <w:pStyle w:val="ListParagraph"/>
        <w:rPr>
          <w:lang w:eastAsia="nl-NL"/>
        </w:rPr>
      </w:pPr>
    </w:p>
    <w:p w:rsidR="008B5FCE" w:rsidRPr="00C40B5B" w:rsidRDefault="008B5FCE" w:rsidP="008B5FCE">
      <w:pPr>
        <w:pStyle w:val="ListParagraph"/>
        <w:numPr>
          <w:ilvl w:val="0"/>
          <w:numId w:val="12"/>
        </w:numPr>
        <w:suppressAutoHyphens w:val="0"/>
        <w:jc w:val="both"/>
        <w:rPr>
          <w:lang w:eastAsia="nl-NL"/>
        </w:rPr>
      </w:pPr>
      <w:r w:rsidRPr="00C40B5B">
        <w:rPr>
          <w:lang w:eastAsia="nl-NL"/>
        </w:rPr>
        <w:t xml:space="preserve">In the view of the SRSG, the situation that UNMIK faced in Kosovo “from 1999 to 2008 was in most respects similar to that experienced in Bosnia and Herzegovina from 1995 to 2005”. </w:t>
      </w:r>
    </w:p>
    <w:p w:rsidR="008B5FCE" w:rsidRPr="00C40B5B" w:rsidRDefault="008B5FCE" w:rsidP="008B5FCE">
      <w:pPr>
        <w:pStyle w:val="ListParagraph"/>
        <w:suppressAutoHyphens w:val="0"/>
        <w:ind w:left="360"/>
        <w:jc w:val="both"/>
        <w:rPr>
          <w:lang w:eastAsia="nl-NL"/>
        </w:rPr>
      </w:pPr>
    </w:p>
    <w:p w:rsidR="008B5FCE" w:rsidRPr="00C40B5B" w:rsidRDefault="008B5FCE" w:rsidP="008B5FCE">
      <w:pPr>
        <w:pStyle w:val="ListParagraph"/>
        <w:numPr>
          <w:ilvl w:val="0"/>
          <w:numId w:val="12"/>
        </w:numPr>
        <w:suppressAutoHyphens w:val="0"/>
        <w:jc w:val="both"/>
        <w:rPr>
          <w:lang w:eastAsia="nl-NL"/>
        </w:rPr>
      </w:pPr>
      <w:r w:rsidRPr="00C40B5B">
        <w:rPr>
          <w:lang w:eastAsia="nl-NL"/>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8B5FCE" w:rsidRPr="00C40B5B" w:rsidRDefault="008B5FCE" w:rsidP="008B5FCE">
      <w:pPr>
        <w:pStyle w:val="ListParagraph"/>
        <w:rPr>
          <w:lang w:eastAsia="nl-NL"/>
        </w:rPr>
      </w:pPr>
    </w:p>
    <w:p w:rsidR="008B5FCE" w:rsidRPr="00C40B5B" w:rsidRDefault="008B5FCE" w:rsidP="008B5FCE">
      <w:pPr>
        <w:pStyle w:val="ListParagraph"/>
        <w:numPr>
          <w:ilvl w:val="0"/>
          <w:numId w:val="12"/>
        </w:numPr>
        <w:suppressAutoHyphens w:val="0"/>
        <w:jc w:val="both"/>
        <w:rPr>
          <w:lang w:eastAsia="nl-NL"/>
        </w:rPr>
      </w:pPr>
      <w:r w:rsidRPr="00C40B5B">
        <w:rPr>
          <w:lang w:eastAsia="nl-NL"/>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8B5FCE" w:rsidRPr="00C40B5B" w:rsidRDefault="008B5FCE" w:rsidP="008B5FCE">
      <w:pPr>
        <w:pStyle w:val="ListParagraph"/>
        <w:suppressAutoHyphens w:val="0"/>
        <w:ind w:left="360"/>
        <w:jc w:val="both"/>
        <w:rPr>
          <w:lang w:eastAsia="nl-NL"/>
        </w:rPr>
      </w:pPr>
    </w:p>
    <w:p w:rsidR="008B5FCE" w:rsidRPr="00C40B5B" w:rsidRDefault="008B5FCE" w:rsidP="008B5FCE">
      <w:pPr>
        <w:pStyle w:val="ListParagraph"/>
        <w:numPr>
          <w:ilvl w:val="0"/>
          <w:numId w:val="12"/>
        </w:numPr>
        <w:suppressAutoHyphens w:val="0"/>
        <w:jc w:val="both"/>
        <w:rPr>
          <w:lang w:eastAsia="nl-NL"/>
        </w:rPr>
      </w:pPr>
      <w:r w:rsidRPr="00C40B5B">
        <w:rPr>
          <w:lang w:eastAsia="nl-NL"/>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C40B5B">
        <w:rPr>
          <w:i/>
          <w:lang w:eastAsia="nl-NL"/>
        </w:rPr>
        <w:t>Palić</w:t>
      </w:r>
      <w:r w:rsidRPr="00C40B5B">
        <w:rPr>
          <w:lang w:eastAsia="nl-NL"/>
        </w:rPr>
        <w:t xml:space="preserve">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8B5FCE" w:rsidRPr="00C40B5B" w:rsidRDefault="008B5FCE" w:rsidP="008B5FCE">
      <w:pPr>
        <w:pStyle w:val="ListParagraph"/>
      </w:pPr>
    </w:p>
    <w:p w:rsidR="008B5FCE" w:rsidRPr="00C40B5B" w:rsidRDefault="008B5FCE" w:rsidP="008B5FCE">
      <w:pPr>
        <w:pStyle w:val="ListParagraph"/>
        <w:numPr>
          <w:ilvl w:val="0"/>
          <w:numId w:val="12"/>
        </w:numPr>
        <w:suppressAutoHyphens w:val="0"/>
        <w:jc w:val="both"/>
        <w:rPr>
          <w:lang w:eastAsia="nl-NL"/>
        </w:rPr>
      </w:pPr>
      <w:r w:rsidRPr="00C40B5B">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w:t>
      </w:r>
      <w:r w:rsidRPr="00C40B5B">
        <w:lastRenderedPageBreak/>
        <w:t xml:space="preserve">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 </w:t>
      </w:r>
    </w:p>
    <w:p w:rsidR="008B5FCE" w:rsidRPr="00C40B5B" w:rsidRDefault="008B5FCE" w:rsidP="008B5FCE">
      <w:pPr>
        <w:pStyle w:val="ListParagraph"/>
        <w:rPr>
          <w:lang w:eastAsia="nl-NL"/>
        </w:rPr>
      </w:pPr>
    </w:p>
    <w:p w:rsidR="008B5FCE" w:rsidRPr="00C40B5B" w:rsidRDefault="008B5FCE" w:rsidP="00027DA9">
      <w:pPr>
        <w:ind w:left="862" w:right="567"/>
        <w:jc w:val="both"/>
      </w:pPr>
      <w:r w:rsidRPr="00C40B5B">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w:t>
      </w:r>
      <w:r w:rsidRPr="00C40B5B">
        <w:rPr>
          <w:lang w:eastAsia="nl-NL"/>
        </w:rPr>
        <w:t>Tempers</w:t>
      </w:r>
      <w:r w:rsidRPr="00C40B5B">
        <w:t xml:space="preserve"> and tensions were running high amongst all ethnic groups, exacerbated by reports of missing and dead persons. It became imperative for UNMIK Police to establish order and to quickly construct a framework to register and investigate crimes. </w:t>
      </w:r>
    </w:p>
    <w:p w:rsidR="008B5FCE" w:rsidRPr="00C40B5B" w:rsidRDefault="008B5FCE" w:rsidP="008B5FCE">
      <w:pPr>
        <w:pStyle w:val="Default"/>
        <w:tabs>
          <w:tab w:val="num" w:pos="450"/>
          <w:tab w:val="left" w:pos="720"/>
        </w:tabs>
        <w:ind w:left="720"/>
        <w:jc w:val="both"/>
        <w:rPr>
          <w:color w:val="auto"/>
        </w:rPr>
      </w:pPr>
    </w:p>
    <w:p w:rsidR="008B5FCE" w:rsidRPr="00C40B5B" w:rsidRDefault="008B5FCE" w:rsidP="00027DA9">
      <w:pPr>
        <w:ind w:left="862" w:right="567"/>
        <w:jc w:val="both"/>
      </w:pPr>
      <w:r w:rsidRPr="00C40B5B">
        <w:t>All 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8B5FCE" w:rsidRPr="00C40B5B" w:rsidRDefault="008B5FCE" w:rsidP="008B5FCE">
      <w:pPr>
        <w:pStyle w:val="ListParagraph"/>
      </w:pPr>
    </w:p>
    <w:p w:rsidR="008B5FCE" w:rsidRPr="00C40B5B" w:rsidRDefault="008B5FCE" w:rsidP="008B5FCE">
      <w:pPr>
        <w:pStyle w:val="ListParagraph"/>
        <w:numPr>
          <w:ilvl w:val="0"/>
          <w:numId w:val="12"/>
        </w:numPr>
        <w:suppressAutoHyphens w:val="0"/>
        <w:jc w:val="both"/>
        <w:rPr>
          <w:lang w:eastAsia="nl-NL"/>
        </w:rPr>
      </w:pPr>
      <w:r w:rsidRPr="00C40B5B">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w:t>
      </w:r>
      <w:r w:rsidR="0001025A" w:rsidRPr="00C40B5B">
        <w:t>cultures</w:t>
      </w:r>
      <w:r w:rsidRPr="00C40B5B">
        <w:t xml:space="preserve">, with limited support from the still developing Kosovo Police. </w:t>
      </w:r>
    </w:p>
    <w:p w:rsidR="008B5FCE" w:rsidRPr="00C40B5B" w:rsidRDefault="008B5FCE" w:rsidP="008B5FCE">
      <w:pPr>
        <w:pStyle w:val="ListParagraph"/>
        <w:suppressAutoHyphens w:val="0"/>
        <w:ind w:left="360"/>
        <w:jc w:val="both"/>
        <w:rPr>
          <w:lang w:eastAsia="nl-NL"/>
        </w:rPr>
      </w:pPr>
    </w:p>
    <w:p w:rsidR="008B5FCE" w:rsidRPr="00C40B5B" w:rsidRDefault="008B5FCE" w:rsidP="008B5FCE">
      <w:pPr>
        <w:pStyle w:val="ListParagraph"/>
        <w:numPr>
          <w:ilvl w:val="0"/>
          <w:numId w:val="12"/>
        </w:numPr>
        <w:suppressAutoHyphens w:val="0"/>
        <w:jc w:val="both"/>
        <w:rPr>
          <w:lang w:eastAsia="nl-NL"/>
        </w:rPr>
      </w:pPr>
      <w:r w:rsidRPr="00C40B5B">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8B5FCE" w:rsidRPr="00C40B5B" w:rsidRDefault="008B5FCE" w:rsidP="008B5FCE">
      <w:pPr>
        <w:pStyle w:val="ListParagraph"/>
        <w:rPr>
          <w:lang w:eastAsia="nl-NL"/>
        </w:rPr>
      </w:pPr>
    </w:p>
    <w:p w:rsidR="008B5FCE" w:rsidRPr="00C40B5B" w:rsidRDefault="008B5FCE" w:rsidP="008B5FCE">
      <w:pPr>
        <w:pStyle w:val="ListParagraph"/>
        <w:numPr>
          <w:ilvl w:val="0"/>
          <w:numId w:val="12"/>
        </w:numPr>
        <w:suppressAutoHyphens w:val="0"/>
        <w:jc w:val="both"/>
        <w:rPr>
          <w:lang w:eastAsia="nl-NL"/>
        </w:rPr>
      </w:pPr>
      <w:r w:rsidRPr="00C40B5B">
        <w:rPr>
          <w:lang w:eastAsia="nl-NL"/>
        </w:rPr>
        <w:t>The SRSG therefore argues that the constraints describe above inhibited the ability of UNMIK to conduct all investigations in a manner that “may be demonstrated, or at least expected, on other States with more established institutions and without the surge in cases of this nature associated with a post-conflict situation”.</w:t>
      </w:r>
    </w:p>
    <w:p w:rsidR="008B5FCE" w:rsidRPr="00C40B5B" w:rsidRDefault="008B5FCE" w:rsidP="008B5FCE">
      <w:pPr>
        <w:pStyle w:val="ListParagraph"/>
      </w:pPr>
    </w:p>
    <w:p w:rsidR="008B5FCE" w:rsidRPr="00C40B5B" w:rsidRDefault="008B5FCE" w:rsidP="008B5FCE">
      <w:pPr>
        <w:pStyle w:val="ListParagraph"/>
        <w:numPr>
          <w:ilvl w:val="0"/>
          <w:numId w:val="12"/>
        </w:numPr>
        <w:suppressAutoHyphens w:val="0"/>
        <w:jc w:val="both"/>
        <w:rPr>
          <w:lang w:eastAsia="nl-NL"/>
        </w:rPr>
      </w:pPr>
      <w:r w:rsidRPr="00C40B5B">
        <w:t xml:space="preserve">With respect to the case of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Pr="00C40B5B">
        <w:t xml:space="preserve">, the SRSG states that the investigative files available show that UNMIK complied with its obligation to determine his fate and whereabouts by opening and pursuing an investigation on the basis of “very scant” </w:t>
      </w:r>
      <w:r w:rsidRPr="00C40B5B">
        <w:lastRenderedPageBreak/>
        <w:t>information provided</w:t>
      </w:r>
      <w:r w:rsidR="0001025A" w:rsidRPr="00C40B5B">
        <w:t>, “not by the Complainant herself…but probably from the ICRC or the Belgrade authorities.”</w:t>
      </w:r>
      <w:r w:rsidRPr="00C40B5B">
        <w:t xml:space="preserve"> </w:t>
      </w:r>
    </w:p>
    <w:p w:rsidR="00D76E80" w:rsidRPr="00C40B5B" w:rsidRDefault="00D76E80" w:rsidP="00D76E80">
      <w:pPr>
        <w:pStyle w:val="ListParagraph"/>
        <w:rPr>
          <w:lang w:eastAsia="nl-NL"/>
        </w:rPr>
      </w:pPr>
    </w:p>
    <w:p w:rsidR="00785CE8" w:rsidRPr="00C40B5B" w:rsidRDefault="00F42829" w:rsidP="00785CE8">
      <w:pPr>
        <w:pStyle w:val="ListParagraph"/>
        <w:numPr>
          <w:ilvl w:val="0"/>
          <w:numId w:val="12"/>
        </w:numPr>
        <w:suppressAutoHyphens w:val="0"/>
        <w:jc w:val="both"/>
        <w:rPr>
          <w:lang w:eastAsia="nl-NL"/>
        </w:rPr>
      </w:pPr>
      <w:r w:rsidRPr="00C40B5B">
        <w:rPr>
          <w:lang w:eastAsia="nl-NL"/>
        </w:rPr>
        <w:t>Summari</w:t>
      </w:r>
      <w:r w:rsidR="00E06C0F" w:rsidRPr="00C40B5B">
        <w:rPr>
          <w:lang w:eastAsia="nl-NL"/>
        </w:rPr>
        <w:t>s</w:t>
      </w:r>
      <w:r w:rsidRPr="00C40B5B">
        <w:rPr>
          <w:lang w:eastAsia="nl-NL"/>
        </w:rPr>
        <w:t>ing</w:t>
      </w:r>
      <w:r w:rsidR="00D76E80" w:rsidRPr="00C40B5B">
        <w:rPr>
          <w:lang w:eastAsia="nl-NL"/>
        </w:rPr>
        <w:t xml:space="preserve"> the steps taken by UNMIK investigators, the SRSG states that </w:t>
      </w:r>
      <w:r w:rsidR="00E06C0F" w:rsidRPr="00C40B5B">
        <w:rPr>
          <w:lang w:eastAsia="nl-NL"/>
        </w:rPr>
        <w:t xml:space="preserve">the </w:t>
      </w:r>
      <w:r w:rsidR="00D76E80" w:rsidRPr="00C40B5B">
        <w:rPr>
          <w:lang w:eastAsia="nl-NL"/>
        </w:rPr>
        <w:t>UNMIK MPU ope</w:t>
      </w:r>
      <w:r w:rsidR="009801CE" w:rsidRPr="00C40B5B">
        <w:rPr>
          <w:lang w:eastAsia="nl-NL"/>
        </w:rPr>
        <w:t xml:space="preserve">ned a missing person file on </w:t>
      </w:r>
      <w:r w:rsidR="00D76E80"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F62EF1" w:rsidRPr="00C40B5B">
        <w:rPr>
          <w:lang w:eastAsia="nl-NL"/>
        </w:rPr>
        <w:t xml:space="preserve"> on </w:t>
      </w:r>
      <w:r w:rsidR="00CF2609" w:rsidRPr="00C40B5B">
        <w:rPr>
          <w:lang w:eastAsia="nl-NL"/>
        </w:rPr>
        <w:t>09 June 2002</w:t>
      </w:r>
      <w:r w:rsidR="00D76E80" w:rsidRPr="00C40B5B">
        <w:t xml:space="preserve">. </w:t>
      </w:r>
      <w:r w:rsidR="00F62EF1" w:rsidRPr="00C40B5B">
        <w:t>As documented in</w:t>
      </w:r>
      <w:r w:rsidR="00035BBB" w:rsidRPr="00C40B5B">
        <w:t xml:space="preserve"> the WCIU Ante-Mortem Investigation Report dated </w:t>
      </w:r>
      <w:r w:rsidR="00CF2609" w:rsidRPr="00C40B5B">
        <w:t>16 December 2004</w:t>
      </w:r>
      <w:r w:rsidR="00035BBB" w:rsidRPr="00C40B5B">
        <w:t xml:space="preserve">, UNMIK </w:t>
      </w:r>
      <w:r w:rsidR="00CF2609" w:rsidRPr="00C40B5B">
        <w:t xml:space="preserve">contacted </w:t>
      </w:r>
      <w:r w:rsidR="00035BBB" w:rsidRPr="00C40B5B">
        <w:t>the complainant in order to collect additional information. The SRSG states that “</w:t>
      </w:r>
      <w:r w:rsidR="00785CE8" w:rsidRPr="00C40B5B">
        <w:t xml:space="preserve">Even though there was no information at that time that could shed light to the possible whereabouts of </w:t>
      </w:r>
      <w:r w:rsidR="00451E17" w:rsidRPr="00C40B5B">
        <w:t>Mr</w:t>
      </w:r>
      <w:r w:rsidR="00785CE8" w:rsidRPr="00C40B5B">
        <w:t xml:space="preserve"> </w:t>
      </w:r>
      <w:proofErr w:type="spellStart"/>
      <w:r w:rsidR="00E41F93" w:rsidRPr="00C40B5B">
        <w:t>Tomić</w:t>
      </w:r>
      <w:proofErr w:type="spellEnd"/>
      <w:r w:rsidR="00785CE8" w:rsidRPr="00C40B5B">
        <w:t xml:space="preserve">, the available files provide evidence that UNMIK police and forensic efforts in early 2000…lead to the discovery of what at a later stage would turn out to be </w:t>
      </w:r>
      <w:r w:rsidR="00451E17" w:rsidRPr="00C40B5B">
        <w:t>Mr</w:t>
      </w:r>
      <w:r w:rsidR="00785CE8" w:rsidRPr="00C40B5B">
        <w:t xml:space="preserve"> </w:t>
      </w:r>
      <w:proofErr w:type="spellStart"/>
      <w:r w:rsidR="00E41F93" w:rsidRPr="00C40B5B">
        <w:t>Tomić</w:t>
      </w:r>
      <w:r w:rsidR="00785CE8" w:rsidRPr="00C40B5B">
        <w:t>’s</w:t>
      </w:r>
      <w:proofErr w:type="spellEnd"/>
      <w:r w:rsidR="00785CE8" w:rsidRPr="00C40B5B">
        <w:t xml:space="preserve"> mortal remains” at the end of what he defines as a “complex investigation”.  </w:t>
      </w:r>
    </w:p>
    <w:p w:rsidR="00785CE8" w:rsidRPr="00C40B5B" w:rsidRDefault="00785CE8" w:rsidP="00785CE8">
      <w:pPr>
        <w:pStyle w:val="ListParagraph"/>
        <w:rPr>
          <w:lang w:eastAsia="nl-NL"/>
        </w:rPr>
      </w:pPr>
    </w:p>
    <w:p w:rsidR="00D6336E" w:rsidRPr="00C40B5B" w:rsidRDefault="00035BBB" w:rsidP="00D6336E">
      <w:pPr>
        <w:pStyle w:val="ListParagraph"/>
        <w:numPr>
          <w:ilvl w:val="0"/>
          <w:numId w:val="12"/>
        </w:numPr>
        <w:suppressAutoHyphens w:val="0"/>
        <w:jc w:val="both"/>
        <w:rPr>
          <w:lang w:eastAsia="nl-NL"/>
        </w:rPr>
      </w:pPr>
      <w:r w:rsidRPr="00C40B5B">
        <w:rPr>
          <w:lang w:eastAsia="nl-NL"/>
        </w:rPr>
        <w:t xml:space="preserve">The SRSG further states that </w:t>
      </w:r>
      <w:r w:rsidR="00785CE8" w:rsidRPr="00C40B5B">
        <w:rPr>
          <w:lang w:eastAsia="nl-NL"/>
        </w:rPr>
        <w:t xml:space="preserve">“In the final phase of the investigation, i.e. when the remains were formally identified by the MPU, the death of </w:t>
      </w:r>
      <w:r w:rsidR="00451E17" w:rsidRPr="00C40B5B">
        <w:rPr>
          <w:lang w:eastAsia="nl-NL"/>
        </w:rPr>
        <w:t>Mr</w:t>
      </w:r>
      <w:r w:rsidR="00785CE8" w:rsidRPr="00C40B5B">
        <w:rPr>
          <w:lang w:eastAsia="nl-NL"/>
        </w:rPr>
        <w:t xml:space="preserve"> </w:t>
      </w:r>
      <w:proofErr w:type="spellStart"/>
      <w:r w:rsidR="00E41F93" w:rsidRPr="00C40B5B">
        <w:rPr>
          <w:lang w:eastAsia="nl-NL"/>
        </w:rPr>
        <w:t>Tomić</w:t>
      </w:r>
      <w:proofErr w:type="spellEnd"/>
      <w:r w:rsidR="00785CE8" w:rsidRPr="00C40B5B">
        <w:rPr>
          <w:lang w:eastAsia="nl-NL"/>
        </w:rPr>
        <w:t xml:space="preserve"> was duly certified by UNMIK.” </w:t>
      </w:r>
      <w:r w:rsidR="0046539D" w:rsidRPr="00C40B5B">
        <w:t>The SRSG states that “the lapse of years</w:t>
      </w:r>
      <w:r w:rsidR="005F4D79" w:rsidRPr="00C40B5B">
        <w:t>”</w:t>
      </w:r>
      <w:r w:rsidR="0046539D" w:rsidRPr="00C40B5B">
        <w:t xml:space="preserve"> between the initial stage of the UNMIK investigation and the actual identification of the mortal remains</w:t>
      </w:r>
      <w:r w:rsidR="005F4D79" w:rsidRPr="00C40B5B">
        <w:t xml:space="preserve"> </w:t>
      </w:r>
      <w:r w:rsidR="0046539D" w:rsidRPr="00C40B5B">
        <w:t xml:space="preserve">of </w:t>
      </w:r>
      <w:r w:rsidR="005F4D79"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5F4D79" w:rsidRPr="00C40B5B">
        <w:t xml:space="preserve">, which occurred in December </w:t>
      </w:r>
      <w:r w:rsidR="00D6336E" w:rsidRPr="00C40B5B">
        <w:t>2006,</w:t>
      </w:r>
      <w:r w:rsidR="005F4D79" w:rsidRPr="00C40B5B">
        <w:t xml:space="preserve"> must be assessed against the broader context of UNMIK’s criminal investigations in post-conflict Kosovo.</w:t>
      </w:r>
      <w:r w:rsidR="00D6336E" w:rsidRPr="00C40B5B">
        <w:t xml:space="preserve"> In the SRSG’s view, despite the lack of information on the whereabouts of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D6336E" w:rsidRPr="00C40B5B">
        <w:t xml:space="preserve">, UNMIK Police and forensic efforts led to the </w:t>
      </w:r>
      <w:r w:rsidR="00CA10B8" w:rsidRPr="00C40B5B">
        <w:t>discovery of his mortal remains.</w:t>
      </w:r>
      <w:r w:rsidR="00D6336E" w:rsidRPr="00C40B5B">
        <w:t xml:space="preserve"> </w:t>
      </w:r>
      <w:r w:rsidR="00371F95" w:rsidRPr="00C40B5B">
        <w:rPr>
          <w:lang w:eastAsia="nl-NL"/>
        </w:rPr>
        <w:t xml:space="preserve">The SRSG reports that the “identification of Mr </w:t>
      </w:r>
      <w:proofErr w:type="spellStart"/>
      <w:r w:rsidR="00371F95" w:rsidRPr="00C40B5B">
        <w:rPr>
          <w:lang w:eastAsia="nl-NL"/>
        </w:rPr>
        <w:t>Tomić’s</w:t>
      </w:r>
      <w:proofErr w:type="spellEnd"/>
      <w:r w:rsidR="00371F95" w:rsidRPr="00C40B5B">
        <w:rPr>
          <w:lang w:eastAsia="nl-NL"/>
        </w:rPr>
        <w:t xml:space="preserve"> mortal remains was possible only after ante mortem samples were collected from his close family members, i.e. his wife, daughter and two sons.”</w:t>
      </w:r>
    </w:p>
    <w:p w:rsidR="00CA10B8" w:rsidRPr="00C40B5B" w:rsidRDefault="00CA10B8" w:rsidP="00CA10B8">
      <w:pPr>
        <w:pStyle w:val="ListParagraph"/>
        <w:rPr>
          <w:lang w:eastAsia="nl-NL"/>
        </w:rPr>
      </w:pPr>
    </w:p>
    <w:p w:rsidR="00D6336E" w:rsidRPr="00C40B5B" w:rsidRDefault="0073561C" w:rsidP="00D7420E">
      <w:pPr>
        <w:pStyle w:val="ListParagraph"/>
        <w:numPr>
          <w:ilvl w:val="0"/>
          <w:numId w:val="12"/>
        </w:numPr>
        <w:suppressAutoHyphens w:val="0"/>
        <w:jc w:val="both"/>
        <w:rPr>
          <w:lang w:eastAsia="nl-NL"/>
        </w:rPr>
      </w:pPr>
      <w:r w:rsidRPr="00C40B5B">
        <w:rPr>
          <w:lang w:eastAsia="nl-NL"/>
        </w:rPr>
        <w:t xml:space="preserve">Concerning the investigation aimed at </w:t>
      </w:r>
      <w:r w:rsidR="008D0D8D" w:rsidRPr="00C40B5B">
        <w:rPr>
          <w:lang w:eastAsia="nl-NL"/>
        </w:rPr>
        <w:t xml:space="preserve">identifying and bringing to justice those responsible for the abduction and killing of </w:t>
      </w:r>
      <w:r w:rsidR="008D0D8D"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D7420E" w:rsidRPr="00C40B5B">
        <w:t>, the SRSG states that the</w:t>
      </w:r>
      <w:r w:rsidR="00F42829" w:rsidRPr="00C40B5B">
        <w:t xml:space="preserve"> investigation files made available to UNMIK are not conclusive and reveal an overall dearth of information. The </w:t>
      </w:r>
      <w:r w:rsidR="008846FC" w:rsidRPr="00C40B5B">
        <w:t xml:space="preserve">SRSG </w:t>
      </w:r>
      <w:r w:rsidR="00F42829" w:rsidRPr="00C40B5B">
        <w:t xml:space="preserve">stated that the “Complainant failed to provide UNMIK’s Police with leads as to the identity of the perpetrators. </w:t>
      </w:r>
      <w:r w:rsidR="00D7420E" w:rsidRPr="00C40B5B">
        <w:t xml:space="preserve">The SRSG argues that during the period within the Panel’s jurisdiction no further witnesses had come forward and no </w:t>
      </w:r>
      <w:r w:rsidR="00F42829" w:rsidRPr="00C40B5B">
        <w:t xml:space="preserve">physical </w:t>
      </w:r>
      <w:r w:rsidR="00D7420E" w:rsidRPr="00C40B5B">
        <w:t>evidence could be discovered.</w:t>
      </w:r>
      <w:r w:rsidR="00F42829" w:rsidRPr="00C40B5B">
        <w:t xml:space="preserve"> The SRSG states that the investigation initiated in 2002 was still followed up by UNMIK Police in 2004 with the appointment of a new investigator for the case and review of the case.  </w:t>
      </w:r>
      <w:r w:rsidR="00D7420E" w:rsidRPr="00C40B5B">
        <w:t xml:space="preserve">The SRSG states that </w:t>
      </w:r>
      <w:r w:rsidR="00F42829" w:rsidRPr="00C40B5B">
        <w:t>the new c</w:t>
      </w:r>
      <w:r w:rsidR="007E1DB1" w:rsidRPr="00C40B5B">
        <w:t>ontacts pursued with the c</w:t>
      </w:r>
      <w:r w:rsidR="00F42829" w:rsidRPr="00C40B5B">
        <w:t xml:space="preserve">omplainant as a witness did not yield any further useful investigative leads, given </w:t>
      </w:r>
      <w:r w:rsidR="001341C0" w:rsidRPr="00C40B5B">
        <w:t xml:space="preserve">the persistent unavailability of relevant information. </w:t>
      </w:r>
    </w:p>
    <w:p w:rsidR="00D7420E" w:rsidRPr="00C40B5B" w:rsidRDefault="00D7420E" w:rsidP="00D7420E">
      <w:pPr>
        <w:pStyle w:val="ListParagraph"/>
        <w:rPr>
          <w:lang w:eastAsia="nl-NL"/>
        </w:rPr>
      </w:pPr>
    </w:p>
    <w:p w:rsidR="000F7BEF" w:rsidRPr="00C40B5B" w:rsidRDefault="00D7420E" w:rsidP="000F7BEF">
      <w:pPr>
        <w:pStyle w:val="ListParagraph"/>
        <w:numPr>
          <w:ilvl w:val="0"/>
          <w:numId w:val="12"/>
        </w:numPr>
        <w:suppressAutoHyphens w:val="0"/>
        <w:jc w:val="both"/>
        <w:rPr>
          <w:lang w:eastAsia="nl-NL"/>
        </w:rPr>
      </w:pPr>
      <w:r w:rsidRPr="00C40B5B">
        <w:rPr>
          <w:lang w:eastAsia="nl-NL"/>
        </w:rPr>
        <w:t>In view of the above, the SRSG states that UNMIK took all reasonabl</w:t>
      </w:r>
      <w:r w:rsidR="0037514B" w:rsidRPr="00C40B5B">
        <w:rPr>
          <w:lang w:eastAsia="nl-NL"/>
        </w:rPr>
        <w:t>e steps to investigate the case</w:t>
      </w:r>
      <w:r w:rsidRPr="00C40B5B">
        <w:rPr>
          <w:lang w:eastAsia="nl-NL"/>
        </w:rPr>
        <w:t xml:space="preserve"> in accordance with the procedural requirements of Article 2 of the ECHR</w:t>
      </w:r>
      <w:r w:rsidR="0037514B" w:rsidRPr="00C40B5B">
        <w:rPr>
          <w:lang w:eastAsia="nl-NL"/>
        </w:rPr>
        <w:t xml:space="preserve">. The SRSG further states that, however, “as there is the possibility that additional and conclusive information exists, beyond the documents mentioned above, UNMIK reserves its right to make further comments on the instant matter”.  </w:t>
      </w:r>
    </w:p>
    <w:p w:rsidR="000F7BEF" w:rsidRPr="00C40B5B" w:rsidRDefault="000F7BEF" w:rsidP="000F7BEF">
      <w:pPr>
        <w:pStyle w:val="ListParagraph"/>
        <w:rPr>
          <w:lang w:eastAsia="nl-NL"/>
        </w:rPr>
      </w:pPr>
    </w:p>
    <w:p w:rsidR="000F7BEF" w:rsidRPr="00C40B5B" w:rsidRDefault="000F7BEF" w:rsidP="000F7BEF">
      <w:pPr>
        <w:pStyle w:val="ListParagraph"/>
        <w:numPr>
          <w:ilvl w:val="1"/>
          <w:numId w:val="1"/>
        </w:numPr>
        <w:autoSpaceDE w:val="0"/>
        <w:contextualSpacing/>
        <w:jc w:val="both"/>
        <w:rPr>
          <w:b/>
        </w:rPr>
      </w:pPr>
      <w:r w:rsidRPr="00C40B5B">
        <w:rPr>
          <w:b/>
        </w:rPr>
        <w:t xml:space="preserve">The </w:t>
      </w:r>
      <w:r w:rsidRPr="00C40B5B">
        <w:rPr>
          <w:b/>
          <w:bCs/>
        </w:rPr>
        <w:t>Panel’s</w:t>
      </w:r>
      <w:r w:rsidRPr="00C40B5B">
        <w:rPr>
          <w:b/>
        </w:rPr>
        <w:t xml:space="preserve"> assessment</w:t>
      </w:r>
    </w:p>
    <w:p w:rsidR="000F7BEF" w:rsidRPr="00C40B5B" w:rsidRDefault="000F7BEF" w:rsidP="000F7BEF">
      <w:pPr>
        <w:pStyle w:val="ListParagraph"/>
      </w:pPr>
    </w:p>
    <w:p w:rsidR="000F7BEF" w:rsidRPr="00C40B5B" w:rsidRDefault="00987028" w:rsidP="000F7BEF">
      <w:pPr>
        <w:pStyle w:val="ListParagraph"/>
        <w:numPr>
          <w:ilvl w:val="0"/>
          <w:numId w:val="12"/>
        </w:numPr>
        <w:jc w:val="both"/>
      </w:pPr>
      <w:r w:rsidRPr="00C40B5B">
        <w:t>The</w:t>
      </w:r>
      <w:r w:rsidRPr="00C40B5B">
        <w:rPr>
          <w:bCs/>
        </w:rPr>
        <w:t xml:space="preserve"> Panel considers that the complainant invoke</w:t>
      </w:r>
      <w:r w:rsidR="00D9429B" w:rsidRPr="00C40B5B">
        <w:rPr>
          <w:bCs/>
        </w:rPr>
        <w:t>s</w:t>
      </w:r>
      <w:r w:rsidRPr="00C40B5B">
        <w:rPr>
          <w:bCs/>
        </w:rPr>
        <w:t xml:space="preserve"> a violation of the procedural obligation </w:t>
      </w:r>
      <w:r w:rsidRPr="00C40B5B">
        <w:t>stemming</w:t>
      </w:r>
      <w:r w:rsidRPr="00C40B5B">
        <w:rPr>
          <w:bCs/>
        </w:rPr>
        <w:t xml:space="preserve"> from the right to life, guaranteed by Article 2 of the European Convention on </w:t>
      </w:r>
      <w:r w:rsidRPr="00C40B5B">
        <w:rPr>
          <w:bCs/>
        </w:rPr>
        <w:lastRenderedPageBreak/>
        <w:t xml:space="preserve">Human Rights (ECHR) in that UNMIK did not conduct an effective investigation into </w:t>
      </w:r>
      <w:r w:rsidR="001E40A0" w:rsidRPr="00C40B5B">
        <w:rPr>
          <w:bCs/>
        </w:rPr>
        <w:t xml:space="preserve">the </w:t>
      </w:r>
      <w:r w:rsidR="000F7BEF" w:rsidRPr="00C40B5B">
        <w:rPr>
          <w:bCs/>
        </w:rPr>
        <w:t xml:space="preserve">abduction and </w:t>
      </w:r>
      <w:r w:rsidR="00C46FD8" w:rsidRPr="00C40B5B">
        <w:rPr>
          <w:bCs/>
        </w:rPr>
        <w:t>killing</w:t>
      </w:r>
      <w:r w:rsidR="001E40A0" w:rsidRPr="00C40B5B">
        <w:rPr>
          <w:bCs/>
        </w:rPr>
        <w:t xml:space="preserve"> of </w:t>
      </w:r>
      <w:r w:rsidR="00D9429B"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0F7BEF" w:rsidRPr="00C40B5B">
        <w:t>.</w:t>
      </w:r>
      <w:bookmarkStart w:id="20" w:name="_Ref354590617"/>
    </w:p>
    <w:p w:rsidR="000F7BEF" w:rsidRPr="00C40B5B" w:rsidRDefault="000F7BEF" w:rsidP="000F7BEF">
      <w:pPr>
        <w:pStyle w:val="ListParagraph"/>
        <w:ind w:left="360"/>
        <w:jc w:val="both"/>
      </w:pPr>
    </w:p>
    <w:p w:rsidR="000F7BEF" w:rsidRPr="00C40B5B" w:rsidRDefault="000F7BEF" w:rsidP="000F7BEF">
      <w:pPr>
        <w:pStyle w:val="ListParagraph"/>
        <w:numPr>
          <w:ilvl w:val="0"/>
          <w:numId w:val="7"/>
        </w:numPr>
        <w:contextualSpacing/>
        <w:jc w:val="both"/>
        <w:rPr>
          <w:i/>
        </w:rPr>
      </w:pPr>
      <w:r w:rsidRPr="00C40B5B">
        <w:rPr>
          <w:i/>
        </w:rPr>
        <w:t>Submission of relevant files</w:t>
      </w:r>
    </w:p>
    <w:p w:rsidR="000F7BEF" w:rsidRPr="00C40B5B" w:rsidRDefault="000F7BEF" w:rsidP="000F7BEF">
      <w:pPr>
        <w:pStyle w:val="ListParagraph"/>
        <w:ind w:left="360"/>
        <w:jc w:val="both"/>
      </w:pPr>
    </w:p>
    <w:p w:rsidR="000F7BEF" w:rsidRPr="00C40B5B" w:rsidRDefault="00F62819" w:rsidP="000F7BEF">
      <w:pPr>
        <w:pStyle w:val="ListParagraph"/>
        <w:numPr>
          <w:ilvl w:val="0"/>
          <w:numId w:val="12"/>
        </w:numPr>
        <w:jc w:val="both"/>
      </w:pPr>
      <w:r w:rsidRPr="00C40B5B">
        <w:t xml:space="preserve">At </w:t>
      </w:r>
      <w:r w:rsidR="00CD7BC0" w:rsidRPr="00C40B5B">
        <w:t xml:space="preserve">the </w:t>
      </w:r>
      <w:r w:rsidRPr="00C40B5B">
        <w:t xml:space="preserve">Panel’s request, on </w:t>
      </w:r>
      <w:r w:rsidR="004D13F9" w:rsidRPr="00C40B5B">
        <w:t>5 August 2013</w:t>
      </w:r>
      <w:r w:rsidR="002D4ED0" w:rsidRPr="00C40B5B">
        <w:t>,</w:t>
      </w:r>
      <w:r w:rsidR="00CB0C30" w:rsidRPr="00C40B5B">
        <w:t xml:space="preserve"> </w:t>
      </w:r>
      <w:r w:rsidRPr="00C40B5B">
        <w:t xml:space="preserve">the </w:t>
      </w:r>
      <w:r w:rsidRPr="00C40B5B">
        <w:rPr>
          <w:bCs/>
        </w:rPr>
        <w:t>SRSG</w:t>
      </w:r>
      <w:r w:rsidRPr="00C40B5B">
        <w:t xml:space="preserve"> provided copies of the documents related to this investigation, which UNMIK was able to recover. The SRSG</w:t>
      </w:r>
      <w:r w:rsidR="004D13F9" w:rsidRPr="00C40B5B">
        <w:t xml:space="preserve"> also suggested</w:t>
      </w:r>
      <w:r w:rsidRPr="00C40B5B">
        <w:t xml:space="preserve"> </w:t>
      </w:r>
      <w:r w:rsidR="005E4D0E" w:rsidRPr="00C40B5B">
        <w:t xml:space="preserve">(see </w:t>
      </w:r>
      <w:r w:rsidR="00AE4F81" w:rsidRPr="00C40B5B">
        <w:t>§ 62</w:t>
      </w:r>
      <w:r w:rsidR="005E4D0E" w:rsidRPr="00C40B5B">
        <w:t xml:space="preserve"> above) </w:t>
      </w:r>
      <w:r w:rsidRPr="00C40B5B">
        <w:t xml:space="preserve">that there is a possibility </w:t>
      </w:r>
      <w:r w:rsidR="00CB0C30" w:rsidRPr="00C40B5B">
        <w:t xml:space="preserve">more </w:t>
      </w:r>
      <w:r w:rsidRPr="00C40B5B">
        <w:t>information</w:t>
      </w:r>
      <w:r w:rsidR="00CB0C30" w:rsidRPr="00C40B5B">
        <w:t xml:space="preserve">, not contained in the presented documents, </w:t>
      </w:r>
      <w:r w:rsidRPr="00C40B5B">
        <w:t xml:space="preserve">exists, </w:t>
      </w:r>
      <w:r w:rsidR="00CB0C30" w:rsidRPr="00C40B5B">
        <w:t>but provided no</w:t>
      </w:r>
      <w:r w:rsidRPr="00C40B5B">
        <w:t xml:space="preserve"> further details. O</w:t>
      </w:r>
      <w:r w:rsidR="00F34C09" w:rsidRPr="00C40B5B">
        <w:t xml:space="preserve">n </w:t>
      </w:r>
      <w:r w:rsidR="001341C0" w:rsidRPr="00C40B5B">
        <w:t>15 August</w:t>
      </w:r>
      <w:r w:rsidR="004D13F9" w:rsidRPr="00C40B5B">
        <w:t xml:space="preserve"> 2014</w:t>
      </w:r>
      <w:r w:rsidRPr="00C40B5B">
        <w:t>, UNMIK confirmed to the Panel that no more files have been located, thus the disclosure may be considered complete</w:t>
      </w:r>
      <w:r w:rsidR="00CB0C30" w:rsidRPr="00C40B5B">
        <w:t xml:space="preserve"> (see § </w:t>
      </w:r>
      <w:r w:rsidR="005E4D0E" w:rsidRPr="00C40B5B">
        <w:t>8</w:t>
      </w:r>
      <w:r w:rsidR="00CB0C30" w:rsidRPr="00C40B5B">
        <w:t xml:space="preserve"> above)</w:t>
      </w:r>
      <w:bookmarkEnd w:id="20"/>
      <w:r w:rsidR="005E4D0E" w:rsidRPr="00C40B5B">
        <w:t>.</w:t>
      </w:r>
    </w:p>
    <w:p w:rsidR="000F7BEF" w:rsidRPr="00C40B5B" w:rsidRDefault="000F7BEF" w:rsidP="000F7BEF">
      <w:pPr>
        <w:pStyle w:val="ListParagraph"/>
        <w:ind w:left="360"/>
        <w:jc w:val="both"/>
      </w:pPr>
    </w:p>
    <w:p w:rsidR="004D13F9" w:rsidRPr="00C40B5B" w:rsidRDefault="00F62819" w:rsidP="004D13F9">
      <w:pPr>
        <w:pStyle w:val="ListParagraph"/>
        <w:numPr>
          <w:ilvl w:val="0"/>
          <w:numId w:val="12"/>
        </w:numPr>
        <w:jc w:val="both"/>
      </w:pPr>
      <w:r w:rsidRPr="00C40B5B">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C40B5B">
        <w:rPr>
          <w:i/>
        </w:rPr>
        <w:t>Çelikbilek</w:t>
      </w:r>
      <w:proofErr w:type="spellEnd"/>
      <w:r w:rsidRPr="00C40B5B">
        <w:rPr>
          <w:i/>
        </w:rPr>
        <w:t xml:space="preserve"> v. Turkey</w:t>
      </w:r>
      <w:r w:rsidRPr="00C40B5B">
        <w:t xml:space="preserve">, </w:t>
      </w:r>
      <w:r w:rsidRPr="00C40B5B">
        <w:rPr>
          <w:lang w:eastAsia="nl-BE"/>
        </w:rPr>
        <w:t>no. 27693/95, judgment of 31 May 2005</w:t>
      </w:r>
      <w:r w:rsidRPr="00C40B5B">
        <w:rPr>
          <w:i/>
          <w:iCs/>
          <w:lang w:eastAsia="nl-BE"/>
        </w:rPr>
        <w:t>,</w:t>
      </w:r>
      <w:r w:rsidRPr="00C40B5B">
        <w:rPr>
          <w:iCs/>
          <w:lang w:eastAsia="nl-BE"/>
        </w:rPr>
        <w:t xml:space="preserve"> § 56).</w:t>
      </w:r>
      <w:r w:rsidRPr="00C40B5B">
        <w:rPr>
          <w:rFonts w:ascii="Helv" w:hAnsi="Helv" w:cs="Helv"/>
          <w:sz w:val="20"/>
          <w:szCs w:val="20"/>
          <w:lang w:eastAsia="nl-BE"/>
        </w:rPr>
        <w:t xml:space="preserve"> </w:t>
      </w:r>
    </w:p>
    <w:p w:rsidR="00046EBD" w:rsidRPr="00C40B5B" w:rsidRDefault="00046EBD" w:rsidP="00046EBD">
      <w:bookmarkStart w:id="21" w:name="_Ref373945461"/>
    </w:p>
    <w:p w:rsidR="004D13F9" w:rsidRPr="00C40B5B" w:rsidRDefault="00046EBD" w:rsidP="009764F8">
      <w:pPr>
        <w:pStyle w:val="ListParagraph"/>
        <w:numPr>
          <w:ilvl w:val="0"/>
          <w:numId w:val="12"/>
        </w:numPr>
        <w:autoSpaceDE w:val="0"/>
        <w:jc w:val="both"/>
      </w:pPr>
      <w:r w:rsidRPr="00C40B5B">
        <w:t xml:space="preserve">The Panel notes that the proper maintenance of investigative files concerning crimes such as killings and disappearances, from the opening of the investigations until their completion, including the proper record of all hand overs which might have taken place, is crucial to the continuation of such investigations and failure to do so could thus raise </w:t>
      </w:r>
      <w:r w:rsidRPr="00C40B5B">
        <w:rPr>
          <w:i/>
        </w:rPr>
        <w:t xml:space="preserve">per se </w:t>
      </w:r>
      <w:r w:rsidRPr="00C40B5B">
        <w:t xml:space="preserve">issues under Article 2. </w:t>
      </w:r>
    </w:p>
    <w:p w:rsidR="009764F8" w:rsidRPr="00C40B5B" w:rsidRDefault="009764F8" w:rsidP="009764F8">
      <w:pPr>
        <w:autoSpaceDE w:val="0"/>
        <w:jc w:val="both"/>
      </w:pPr>
    </w:p>
    <w:p w:rsidR="004D13F9" w:rsidRPr="00C40B5B" w:rsidRDefault="00722152" w:rsidP="004D13F9">
      <w:pPr>
        <w:pStyle w:val="ListParagraph"/>
        <w:numPr>
          <w:ilvl w:val="0"/>
          <w:numId w:val="12"/>
        </w:numPr>
        <w:jc w:val="both"/>
      </w:pPr>
      <w:r w:rsidRPr="00C40B5B">
        <w:t>The Panel has no reason to doubt that UNMIK undertook all efforts in order to obtain the relevant investigati</w:t>
      </w:r>
      <w:r w:rsidR="00CD7BC0" w:rsidRPr="00C40B5B">
        <w:t>ve</w:t>
      </w:r>
      <w:r w:rsidRPr="00C40B5B">
        <w:t xml:space="preserve"> files. However, the Panel notes that UNMIK has not provided any explanation as to why the documentation may be incomplete, nor with respect to which parts.</w:t>
      </w:r>
      <w:bookmarkEnd w:id="21"/>
    </w:p>
    <w:p w:rsidR="004D13F9" w:rsidRPr="00C40B5B" w:rsidRDefault="004D13F9" w:rsidP="004D13F9">
      <w:pPr>
        <w:pStyle w:val="ListParagraph"/>
      </w:pPr>
    </w:p>
    <w:p w:rsidR="00046EBD" w:rsidRPr="00C40B5B" w:rsidRDefault="00F62819" w:rsidP="00046EBD">
      <w:pPr>
        <w:pStyle w:val="ListParagraph"/>
        <w:numPr>
          <w:ilvl w:val="0"/>
          <w:numId w:val="12"/>
        </w:numPr>
        <w:jc w:val="both"/>
      </w:pPr>
      <w:r w:rsidRPr="00C40B5B">
        <w:t xml:space="preserve">The Panel itself is not in the position to verify the completeness of the investigative files received. The Panel will therefore assess the merits of the complaint on the basis of documents made available (in this sense, see ECtHR, </w:t>
      </w:r>
      <w:proofErr w:type="spellStart"/>
      <w:r w:rsidRPr="00C40B5B">
        <w:rPr>
          <w:i/>
        </w:rPr>
        <w:t>Tsechoyev</w:t>
      </w:r>
      <w:proofErr w:type="spellEnd"/>
      <w:r w:rsidRPr="00C40B5B">
        <w:rPr>
          <w:i/>
        </w:rPr>
        <w:t xml:space="preserve"> v. Russia</w:t>
      </w:r>
      <w:r w:rsidRPr="00C40B5B">
        <w:t>, no. 39358/05, judgment of</w:t>
      </w:r>
      <w:r w:rsidRPr="00C40B5B">
        <w:rPr>
          <w:i/>
        </w:rPr>
        <w:t xml:space="preserve"> </w:t>
      </w:r>
      <w:r w:rsidRPr="00C40B5B">
        <w:t xml:space="preserve">15 March 2011, § 146).  </w:t>
      </w:r>
      <w:bookmarkStart w:id="22" w:name="_Ref366241114"/>
    </w:p>
    <w:p w:rsidR="00046EBD" w:rsidRPr="00C40B5B" w:rsidRDefault="00046EBD" w:rsidP="000507C8">
      <w:pPr>
        <w:jc w:val="both"/>
      </w:pPr>
    </w:p>
    <w:p w:rsidR="00046EBD" w:rsidRPr="00C40B5B" w:rsidRDefault="00046EBD" w:rsidP="00046EBD">
      <w:pPr>
        <w:pStyle w:val="ListParagraph"/>
        <w:numPr>
          <w:ilvl w:val="0"/>
          <w:numId w:val="7"/>
        </w:numPr>
        <w:contextualSpacing/>
        <w:jc w:val="both"/>
        <w:rPr>
          <w:i/>
        </w:rPr>
      </w:pPr>
      <w:r w:rsidRPr="00C40B5B">
        <w:rPr>
          <w:i/>
          <w:lang w:eastAsia="en-US"/>
        </w:rPr>
        <w:t>General</w:t>
      </w:r>
      <w:r w:rsidRPr="00C40B5B">
        <w:rPr>
          <w:i/>
        </w:rPr>
        <w:t xml:space="preserve"> principles concerning the obligation to conduct an effective investigation under Article 2</w:t>
      </w:r>
    </w:p>
    <w:p w:rsidR="00046EBD" w:rsidRPr="00C40B5B" w:rsidRDefault="00046EBD" w:rsidP="00046EBD">
      <w:pPr>
        <w:pStyle w:val="ListParagraph"/>
      </w:pPr>
    </w:p>
    <w:p w:rsidR="00046EBD" w:rsidRPr="00C40B5B" w:rsidRDefault="008E3F48" w:rsidP="00046EBD">
      <w:pPr>
        <w:pStyle w:val="ListParagraph"/>
        <w:numPr>
          <w:ilvl w:val="0"/>
          <w:numId w:val="12"/>
        </w:numPr>
        <w:jc w:val="both"/>
      </w:pPr>
      <w:r w:rsidRPr="00C40B5B">
        <w:t xml:space="preserve">The Panel notes that the positive obligation to investigate </w:t>
      </w:r>
      <w:r w:rsidR="00C3019E" w:rsidRPr="00C40B5B">
        <w:t>has</w:t>
      </w:r>
      <w:r w:rsidRPr="00C40B5B">
        <w:t xml:space="preserve">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C40B5B">
        <w:rPr>
          <w:i/>
        </w:rPr>
        <w:t xml:space="preserve">Mohamed El Awani, v. Libyan </w:t>
      </w:r>
      <w:r w:rsidRPr="00C40B5B">
        <w:rPr>
          <w:i/>
        </w:rPr>
        <w:lastRenderedPageBreak/>
        <w:t>Arab Jamahiriya</w:t>
      </w:r>
      <w:r w:rsidRPr="00C40B5B">
        <w:t>, communication no. 1295/2004, views of 11 July 2007, CCPR/C/90/D/1295/2004). The obligation to investigate disappearances and killings is also asserted in the UN Declaration on the Protection of all Persons from Enforced Disappearances (</w:t>
      </w:r>
      <w:r w:rsidR="003A2EBD" w:rsidRPr="00C40B5B">
        <w:t xml:space="preserve">UN Document </w:t>
      </w:r>
      <w:r w:rsidRPr="00C40B5B">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2"/>
      <w:r w:rsidRPr="00C40B5B">
        <w:t xml:space="preserve">   </w:t>
      </w:r>
      <w:bookmarkStart w:id="23" w:name="_Ref347561805"/>
      <w:bookmarkStart w:id="24" w:name="_Ref366239860"/>
    </w:p>
    <w:p w:rsidR="00046EBD" w:rsidRPr="00C40B5B" w:rsidRDefault="00046EBD" w:rsidP="00046EBD">
      <w:pPr>
        <w:pStyle w:val="ListParagraph"/>
        <w:ind w:left="360"/>
        <w:jc w:val="both"/>
      </w:pPr>
    </w:p>
    <w:p w:rsidR="00046EBD" w:rsidRPr="00C40B5B" w:rsidRDefault="008E3F48" w:rsidP="00046EBD">
      <w:pPr>
        <w:pStyle w:val="ListParagraph"/>
        <w:numPr>
          <w:ilvl w:val="0"/>
          <w:numId w:val="12"/>
        </w:numPr>
        <w:jc w:val="both"/>
      </w:pPr>
      <w:r w:rsidRPr="00C40B5B">
        <w:t>In order to address the complainant’s allegations, the Panel refers to the well-established case-law of the European Court o</w:t>
      </w:r>
      <w:r w:rsidR="007F14FA" w:rsidRPr="00C40B5B">
        <w:t>f</w:t>
      </w:r>
      <w:r w:rsidRPr="00C40B5B">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C40B5B">
        <w:rPr>
          <w:i/>
        </w:rPr>
        <w:t>mutatis mutandis</w:t>
      </w:r>
      <w:r w:rsidRPr="00C40B5B">
        <w:t xml:space="preserve">, ECtHR, </w:t>
      </w:r>
      <w:r w:rsidRPr="00C40B5B">
        <w:rPr>
          <w:i/>
        </w:rPr>
        <w:t>McCann and Others v. the United Kingdom</w:t>
      </w:r>
      <w:r w:rsidRPr="00C40B5B">
        <w:t xml:space="preserve">, judgment of 27 September 1995, § 161, Series A no. 324; and ECtHR, </w:t>
      </w:r>
      <w:r w:rsidRPr="00C40B5B">
        <w:rPr>
          <w:i/>
        </w:rPr>
        <w:t>Kaya v. Turkey</w:t>
      </w:r>
      <w:r w:rsidRPr="00C40B5B">
        <w:t xml:space="preserve">, judgment of 19 February 1998, § </w:t>
      </w:r>
      <w:r w:rsidR="002C656A" w:rsidRPr="00C40B5B">
        <w:t>86</w:t>
      </w:r>
      <w:r w:rsidRPr="00C40B5B">
        <w:t xml:space="preserve">, Reports 1998-I; see also ECtHR, </w:t>
      </w:r>
      <w:proofErr w:type="spellStart"/>
      <w:r w:rsidRPr="00C40B5B">
        <w:rPr>
          <w:i/>
        </w:rPr>
        <w:t>Jasinskis</w:t>
      </w:r>
      <w:proofErr w:type="spellEnd"/>
      <w:r w:rsidRPr="00C40B5B">
        <w:rPr>
          <w:i/>
        </w:rPr>
        <w:t xml:space="preserve"> v. Latvia</w:t>
      </w:r>
      <w:r w:rsidRPr="00C40B5B">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C40B5B">
        <w:rPr>
          <w:i/>
        </w:rPr>
        <w:t>Kolevi</w:t>
      </w:r>
      <w:proofErr w:type="spellEnd"/>
      <w:r w:rsidRPr="00C40B5B">
        <w:rPr>
          <w:i/>
        </w:rPr>
        <w:t xml:space="preserve"> v. Bulgaria</w:t>
      </w:r>
      <w:r w:rsidRPr="00C40B5B">
        <w:t>, no. 1108/02, judgment of 5 November 2009, § 191).</w:t>
      </w:r>
      <w:bookmarkEnd w:id="23"/>
      <w:bookmarkEnd w:id="24"/>
    </w:p>
    <w:p w:rsidR="00046EBD" w:rsidRPr="00C40B5B" w:rsidRDefault="00046EBD" w:rsidP="00046EBD">
      <w:pPr>
        <w:pStyle w:val="ListParagraph"/>
        <w:ind w:left="360"/>
        <w:jc w:val="both"/>
      </w:pPr>
    </w:p>
    <w:p w:rsidR="00046EBD" w:rsidRPr="00C40B5B" w:rsidRDefault="008E3F48" w:rsidP="00046EBD">
      <w:pPr>
        <w:pStyle w:val="ListParagraph"/>
        <w:numPr>
          <w:ilvl w:val="0"/>
          <w:numId w:val="12"/>
        </w:numPr>
        <w:jc w:val="both"/>
      </w:pPr>
      <w:r w:rsidRPr="00C40B5B">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C40B5B">
        <w:rPr>
          <w:i/>
        </w:rPr>
        <w:t>Varnava and Others v. Turkey</w:t>
      </w:r>
      <w:r w:rsidRPr="00C40B5B">
        <w:t xml:space="preserve">, cited in § </w:t>
      </w:r>
      <w:r w:rsidR="00AE4F81" w:rsidRPr="00C40B5B">
        <w:t>44</w:t>
      </w:r>
      <w:r w:rsidR="003E64E0" w:rsidRPr="00C40B5B">
        <w:t xml:space="preserve"> </w:t>
      </w:r>
      <w:r w:rsidRPr="00C40B5B">
        <w:t>above, at § 136).</w:t>
      </w:r>
      <w:bookmarkStart w:id="25" w:name="_Ref366240125"/>
    </w:p>
    <w:p w:rsidR="00046EBD" w:rsidRPr="00C40B5B" w:rsidRDefault="00046EBD" w:rsidP="00046EBD">
      <w:pPr>
        <w:pStyle w:val="ListParagraph"/>
      </w:pPr>
    </w:p>
    <w:p w:rsidR="00046EBD" w:rsidRPr="00C40B5B" w:rsidRDefault="008E3F48" w:rsidP="00046EBD">
      <w:pPr>
        <w:pStyle w:val="ListParagraph"/>
        <w:numPr>
          <w:ilvl w:val="0"/>
          <w:numId w:val="12"/>
        </w:numPr>
        <w:jc w:val="both"/>
      </w:pPr>
      <w:r w:rsidRPr="00C40B5B">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C40B5B">
        <w:rPr>
          <w:i/>
        </w:rPr>
        <w:t>Ahmet</w:t>
      </w:r>
      <w:proofErr w:type="spellEnd"/>
      <w:r w:rsidRPr="00C40B5B">
        <w:rPr>
          <w:i/>
        </w:rPr>
        <w:t xml:space="preserve"> </w:t>
      </w:r>
      <w:proofErr w:type="spellStart"/>
      <w:r w:rsidRPr="00C40B5B">
        <w:rPr>
          <w:i/>
        </w:rPr>
        <w:t>Özkan</w:t>
      </w:r>
      <w:proofErr w:type="spellEnd"/>
      <w:r w:rsidRPr="00C40B5B">
        <w:rPr>
          <w:i/>
        </w:rPr>
        <w:t xml:space="preserve"> and Others v. Turkey</w:t>
      </w:r>
      <w:r w:rsidRPr="00C40B5B">
        <w:t xml:space="preserve">, no. 21689/93, judgment of 6 April 2004, § 310, see also ECtHR, </w:t>
      </w:r>
      <w:proofErr w:type="spellStart"/>
      <w:r w:rsidRPr="00C40B5B">
        <w:rPr>
          <w:i/>
        </w:rPr>
        <w:t>Isayeva</w:t>
      </w:r>
      <w:proofErr w:type="spellEnd"/>
      <w:r w:rsidRPr="00C40B5B">
        <w:rPr>
          <w:i/>
        </w:rPr>
        <w:t xml:space="preserve"> v. Russia</w:t>
      </w:r>
      <w:r w:rsidRPr="00C40B5B">
        <w:t>, no. 57950/00, judgment of 24 February 2005, § 210).</w:t>
      </w:r>
      <w:bookmarkEnd w:id="25"/>
      <w:r w:rsidRPr="00C40B5B">
        <w:t xml:space="preserve"> </w:t>
      </w:r>
      <w:bookmarkStart w:id="26" w:name="_Ref346724174"/>
      <w:bookmarkStart w:id="27" w:name="_Ref366239979"/>
    </w:p>
    <w:p w:rsidR="00046EBD" w:rsidRPr="00C40B5B" w:rsidRDefault="00046EBD" w:rsidP="00046EBD">
      <w:pPr>
        <w:pStyle w:val="ListParagraph"/>
      </w:pPr>
    </w:p>
    <w:p w:rsidR="00046EBD" w:rsidRPr="00C40B5B" w:rsidRDefault="007F14FA" w:rsidP="00046EBD">
      <w:pPr>
        <w:pStyle w:val="ListParagraph"/>
        <w:numPr>
          <w:ilvl w:val="0"/>
          <w:numId w:val="12"/>
        </w:numPr>
        <w:jc w:val="both"/>
      </w:pPr>
      <w:r w:rsidRPr="00C40B5B">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C40B5B">
        <w:t xml:space="preserve">(see ECtHR [GC], </w:t>
      </w:r>
      <w:r w:rsidR="008E3F48" w:rsidRPr="00C40B5B">
        <w:rPr>
          <w:i/>
        </w:rPr>
        <w:t xml:space="preserve">Varnava and Others v. </w:t>
      </w:r>
      <w:r w:rsidR="008E3F48" w:rsidRPr="00C40B5B">
        <w:t xml:space="preserve">Turkey, cited </w:t>
      </w:r>
      <w:r w:rsidR="00C46FD8" w:rsidRPr="00C40B5B">
        <w:t>in</w:t>
      </w:r>
      <w:r w:rsidR="003E64E0" w:rsidRPr="00C40B5B">
        <w:t xml:space="preserve"> § </w:t>
      </w:r>
      <w:r w:rsidR="00AE4F81" w:rsidRPr="00C40B5B">
        <w:t>44</w:t>
      </w:r>
      <w:r w:rsidR="003E64E0" w:rsidRPr="00C40B5B">
        <w:t xml:space="preserve"> </w:t>
      </w:r>
      <w:r w:rsidR="008E3F48" w:rsidRPr="00C40B5B">
        <w:t>above</w:t>
      </w:r>
      <w:r w:rsidR="003E64E0" w:rsidRPr="00C40B5B">
        <w:t xml:space="preserve">, at </w:t>
      </w:r>
      <w:r w:rsidR="008E3F48" w:rsidRPr="00C40B5B">
        <w:t xml:space="preserve">§ 191; see also ECtHR, </w:t>
      </w:r>
      <w:r w:rsidR="008E3F48" w:rsidRPr="00C40B5B">
        <w:rPr>
          <w:i/>
        </w:rPr>
        <w:t>Palić v. Bosnia and Herzegovina</w:t>
      </w:r>
      <w:r w:rsidR="008E3F48" w:rsidRPr="00C40B5B">
        <w:t xml:space="preserve">, no. 4704/04, judgment of 15 February 2011, § 63). This is not an obligation of results but of means. The authorities must take whatever reasonable steps they can to secure the evidence concerning </w:t>
      </w:r>
      <w:r w:rsidR="008E3F48" w:rsidRPr="00C40B5B">
        <w:lastRenderedPageBreak/>
        <w:t xml:space="preserve">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008E3F48" w:rsidRPr="00C40B5B">
        <w:rPr>
          <w:i/>
        </w:rPr>
        <w:t>Ahmet</w:t>
      </w:r>
      <w:proofErr w:type="spellEnd"/>
      <w:r w:rsidR="008E3F48" w:rsidRPr="00C40B5B">
        <w:rPr>
          <w:i/>
        </w:rPr>
        <w:t xml:space="preserve"> </w:t>
      </w:r>
      <w:proofErr w:type="spellStart"/>
      <w:r w:rsidR="008E3F48" w:rsidRPr="00C40B5B">
        <w:rPr>
          <w:i/>
        </w:rPr>
        <w:t>Özkan</w:t>
      </w:r>
      <w:proofErr w:type="spellEnd"/>
      <w:r w:rsidR="008E3F48" w:rsidRPr="00C40B5B">
        <w:rPr>
          <w:i/>
        </w:rPr>
        <w:t xml:space="preserve"> and Others v. Turkey</w:t>
      </w:r>
      <w:r w:rsidR="008E3F48" w:rsidRPr="00C40B5B">
        <w:t xml:space="preserve">, cited above, at § 312, and </w:t>
      </w:r>
      <w:r w:rsidR="003E64E0" w:rsidRPr="00C40B5B">
        <w:t>ECtHR,</w:t>
      </w:r>
      <w:r w:rsidR="003E64E0" w:rsidRPr="00C40B5B">
        <w:rPr>
          <w:i/>
        </w:rPr>
        <w:t xml:space="preserve"> </w:t>
      </w:r>
      <w:proofErr w:type="spellStart"/>
      <w:r w:rsidR="008E3F48" w:rsidRPr="00C40B5B">
        <w:rPr>
          <w:i/>
        </w:rPr>
        <w:t>Isayeva</w:t>
      </w:r>
      <w:proofErr w:type="spellEnd"/>
      <w:r w:rsidR="008E3F48" w:rsidRPr="00C40B5B">
        <w:rPr>
          <w:i/>
        </w:rPr>
        <w:t xml:space="preserve"> v. Russia</w:t>
      </w:r>
      <w:r w:rsidR="008E3F48" w:rsidRPr="00C40B5B">
        <w:t>, cited above, at § 212).</w:t>
      </w:r>
      <w:bookmarkEnd w:id="26"/>
      <w:bookmarkEnd w:id="27"/>
      <w:r w:rsidR="008E3F48" w:rsidRPr="00C40B5B">
        <w:t xml:space="preserve"> </w:t>
      </w:r>
      <w:bookmarkStart w:id="28" w:name="_Ref373832219"/>
    </w:p>
    <w:p w:rsidR="00046EBD" w:rsidRPr="00C40B5B" w:rsidRDefault="00046EBD" w:rsidP="00046EBD">
      <w:pPr>
        <w:pStyle w:val="ListParagraph"/>
        <w:ind w:left="360"/>
        <w:jc w:val="both"/>
      </w:pPr>
    </w:p>
    <w:p w:rsidR="00046EBD" w:rsidRPr="00C40B5B" w:rsidRDefault="008E3F48" w:rsidP="00046EBD">
      <w:pPr>
        <w:pStyle w:val="ListParagraph"/>
        <w:numPr>
          <w:ilvl w:val="0"/>
          <w:numId w:val="12"/>
        </w:numPr>
        <w:jc w:val="both"/>
      </w:pPr>
      <w:r w:rsidRPr="00C40B5B">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proofErr w:type="spellStart"/>
      <w:r w:rsidRPr="00C40B5B">
        <w:rPr>
          <w:i/>
        </w:rPr>
        <w:t>Kolevi</w:t>
      </w:r>
      <w:proofErr w:type="spellEnd"/>
      <w:r w:rsidRPr="00C40B5B">
        <w:rPr>
          <w:i/>
        </w:rPr>
        <w:t xml:space="preserve"> v. Bulgaria</w:t>
      </w:r>
      <w:r w:rsidRPr="00C40B5B">
        <w:t>, cited</w:t>
      </w:r>
      <w:r w:rsidR="003E64E0" w:rsidRPr="00C40B5B">
        <w:t xml:space="preserve"> in</w:t>
      </w:r>
      <w:r w:rsidRPr="00C40B5B">
        <w:t xml:space="preserve"> §</w:t>
      </w:r>
      <w:r w:rsidR="005E4D0E" w:rsidRPr="00C40B5B">
        <w:t xml:space="preserve"> </w:t>
      </w:r>
      <w:r w:rsidR="001D1BE4" w:rsidRPr="00C40B5B">
        <w:t>70</w:t>
      </w:r>
      <w:r w:rsidR="005E4D0E" w:rsidRPr="00C40B5B">
        <w:t xml:space="preserve"> above</w:t>
      </w:r>
      <w:r w:rsidRPr="00C40B5B">
        <w:t xml:space="preserve">, </w:t>
      </w:r>
      <w:r w:rsidR="003E64E0" w:rsidRPr="00C40B5B">
        <w:t xml:space="preserve">at </w:t>
      </w:r>
      <w:r w:rsidRPr="00C40B5B">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proofErr w:type="spellStart"/>
      <w:r w:rsidRPr="00C40B5B">
        <w:rPr>
          <w:i/>
        </w:rPr>
        <w:t>Velcea</w:t>
      </w:r>
      <w:proofErr w:type="spellEnd"/>
      <w:r w:rsidRPr="00C40B5B">
        <w:rPr>
          <w:i/>
        </w:rPr>
        <w:t xml:space="preserve"> and </w:t>
      </w:r>
      <w:proofErr w:type="spellStart"/>
      <w:r w:rsidRPr="00C40B5B">
        <w:rPr>
          <w:i/>
        </w:rPr>
        <w:t>Mazăre</w:t>
      </w:r>
      <w:proofErr w:type="spellEnd"/>
      <w:r w:rsidRPr="00C40B5B">
        <w:t xml:space="preserve"> </w:t>
      </w:r>
      <w:r w:rsidRPr="00C40B5B">
        <w:rPr>
          <w:i/>
        </w:rPr>
        <w:t>v. Romania</w:t>
      </w:r>
      <w:r w:rsidRPr="00C40B5B">
        <w:t>, no. 64301/01, judgment of 1 December 2009, § 105).</w:t>
      </w:r>
      <w:bookmarkEnd w:id="28"/>
      <w:r w:rsidRPr="00C40B5B">
        <w:t xml:space="preserve"> </w:t>
      </w:r>
    </w:p>
    <w:p w:rsidR="00046EBD" w:rsidRPr="00C40B5B" w:rsidRDefault="00046EBD" w:rsidP="00046EBD">
      <w:pPr>
        <w:pStyle w:val="ListParagraph"/>
        <w:rPr>
          <w:rStyle w:val="sb8d990e2"/>
        </w:rPr>
      </w:pPr>
    </w:p>
    <w:p w:rsidR="00046EBD" w:rsidRPr="00C40B5B" w:rsidRDefault="00100111" w:rsidP="00046EBD">
      <w:pPr>
        <w:pStyle w:val="ListParagraph"/>
        <w:numPr>
          <w:ilvl w:val="0"/>
          <w:numId w:val="12"/>
        </w:numPr>
        <w:jc w:val="both"/>
      </w:pPr>
      <w:r w:rsidRPr="00C40B5B">
        <w:rPr>
          <w:rStyle w:val="sb8d990e2"/>
        </w:rPr>
        <w:t xml:space="preserve">A requirement of promptness and reasonable expedition is implicit in this context. Even where there may be obstacles or difficulties which prevent progress in an </w:t>
      </w:r>
      <w:bookmarkStart w:id="29" w:name="HIT98"/>
      <w:bookmarkEnd w:id="29"/>
      <w:r w:rsidRPr="00C40B5B">
        <w:rPr>
          <w:rStyle w:val="sb8d990e2"/>
        </w:rPr>
        <w:t xml:space="preserve">investigation in a particular situation, a </w:t>
      </w:r>
      <w:bookmarkStart w:id="30" w:name="HIT99"/>
      <w:bookmarkEnd w:id="30"/>
      <w:r w:rsidRPr="00C40B5B">
        <w:rPr>
          <w:rStyle w:val="sb8d990e2"/>
        </w:rPr>
        <w:t>prompt response by the authorities is vital in maintaining public confidence in their adherence to the rule of law and in preventing any appearance of collusion in or tolerance of unlawful acts (see ECtHR,</w:t>
      </w:r>
      <w:r w:rsidRPr="00C40B5B">
        <w:rPr>
          <w:rStyle w:val="s6b621b36"/>
        </w:rPr>
        <w:t xml:space="preserve"> </w:t>
      </w:r>
      <w:r w:rsidRPr="00C40B5B">
        <w:rPr>
          <w:rStyle w:val="s6b621b36"/>
          <w:i/>
        </w:rPr>
        <w:t>Paul and Audrey Edwards</w:t>
      </w:r>
      <w:r w:rsidRPr="00C40B5B">
        <w:rPr>
          <w:rStyle w:val="sb8d990e2"/>
        </w:rPr>
        <w:t xml:space="preserve"> </w:t>
      </w:r>
      <w:r w:rsidRPr="00C40B5B">
        <w:rPr>
          <w:i/>
        </w:rPr>
        <w:t>v. the United Kingdom</w:t>
      </w:r>
      <w:r w:rsidRPr="00C40B5B">
        <w:t>, no. 46477/99, judgment of 14 March 2002, § 72, ECHR 2002</w:t>
      </w:r>
      <w:r w:rsidRPr="00C40B5B">
        <w:noBreakHyphen/>
        <w:t>II).</w:t>
      </w:r>
      <w:bookmarkStart w:id="31" w:name="_Ref373950745"/>
    </w:p>
    <w:p w:rsidR="00046EBD" w:rsidRPr="00C40B5B" w:rsidRDefault="00046EBD" w:rsidP="00046EBD">
      <w:pPr>
        <w:pStyle w:val="ListParagraph"/>
      </w:pPr>
    </w:p>
    <w:p w:rsidR="00046EBD" w:rsidRPr="00C40B5B" w:rsidRDefault="008E3F48" w:rsidP="00046EBD">
      <w:pPr>
        <w:pStyle w:val="ListParagraph"/>
        <w:numPr>
          <w:ilvl w:val="0"/>
          <w:numId w:val="12"/>
        </w:numPr>
        <w:jc w:val="both"/>
      </w:pPr>
      <w:r w:rsidRPr="00C40B5B">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C40B5B">
        <w:rPr>
          <w:i/>
        </w:rPr>
        <w:t>Palić v. Bosnia and Herzegovina</w:t>
      </w:r>
      <w:r w:rsidRPr="00C40B5B">
        <w:t xml:space="preserve">, cited in § </w:t>
      </w:r>
      <w:r w:rsidR="001D1BE4" w:rsidRPr="00C40B5B">
        <w:t>73</w:t>
      </w:r>
      <w:r w:rsidRPr="00C40B5B">
        <w:t xml:space="preserve"> above, § 46; in the same sense ECtHR [GC], </w:t>
      </w:r>
      <w:r w:rsidR="001D1BE4" w:rsidRPr="00C40B5B">
        <w:rPr>
          <w:i/>
        </w:rPr>
        <w:t>Varnava</w:t>
      </w:r>
      <w:r w:rsidRPr="00C40B5B">
        <w:rPr>
          <w:i/>
        </w:rPr>
        <w:t xml:space="preserve"> and Others v. Turkey</w:t>
      </w:r>
      <w:r w:rsidRPr="00C40B5B">
        <w:t xml:space="preserve">, cited in § </w:t>
      </w:r>
      <w:r w:rsidR="001D1BE4" w:rsidRPr="00C40B5B">
        <w:t>44</w:t>
      </w:r>
      <w:r w:rsidRPr="00C40B5B">
        <w:t xml:space="preserve"> above, § 148, </w:t>
      </w:r>
      <w:r w:rsidRPr="00C40B5B">
        <w:rPr>
          <w:i/>
        </w:rPr>
        <w:t>Aslakhanova and Others v. Russia</w:t>
      </w:r>
      <w:r w:rsidRPr="00C40B5B">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C40B5B">
        <w:rPr>
          <w:i/>
        </w:rPr>
        <w:t>Palić v. Bosnia and Herzegovina</w:t>
      </w:r>
      <w:r w:rsidRPr="00C40B5B">
        <w:t>, cited above</w:t>
      </w:r>
      <w:r w:rsidR="00596E66" w:rsidRPr="00C40B5B">
        <w:t>, § 46</w:t>
      </w:r>
      <w:r w:rsidRPr="00C40B5B">
        <w:t xml:space="preserve">; in the same sense ECtHR [GC], </w:t>
      </w:r>
      <w:r w:rsidRPr="00C40B5B">
        <w:rPr>
          <w:i/>
        </w:rPr>
        <w:t>Varnava and Others v. Turkey</w:t>
      </w:r>
      <w:r w:rsidRPr="00C40B5B">
        <w:t xml:space="preserve">, cited above, § 145). While the location and the subsequent identification of the mortal remains of the victim may in themselves be significant achievements, the procedural obligation under Article 2 continues to exist (see ECtHR, </w:t>
      </w:r>
      <w:r w:rsidRPr="00C40B5B">
        <w:rPr>
          <w:i/>
        </w:rPr>
        <w:t>Palić v. Bosnia and Herzegovina</w:t>
      </w:r>
      <w:r w:rsidRPr="00C40B5B">
        <w:t>, cited above</w:t>
      </w:r>
      <w:r w:rsidR="00596E66" w:rsidRPr="00C40B5B">
        <w:t>, § 64</w:t>
      </w:r>
      <w:r w:rsidRPr="00C40B5B">
        <w:t>).</w:t>
      </w:r>
      <w:bookmarkStart w:id="32" w:name="_Ref347937166"/>
      <w:bookmarkStart w:id="33" w:name="_Ref366240205"/>
      <w:bookmarkEnd w:id="31"/>
    </w:p>
    <w:p w:rsidR="00046EBD" w:rsidRPr="00C40B5B" w:rsidRDefault="00046EBD" w:rsidP="00046EBD">
      <w:pPr>
        <w:pStyle w:val="ListParagraph"/>
        <w:ind w:left="360"/>
        <w:jc w:val="both"/>
      </w:pPr>
    </w:p>
    <w:p w:rsidR="00046EBD" w:rsidRPr="00C40B5B" w:rsidRDefault="008E3F48" w:rsidP="00046EBD">
      <w:pPr>
        <w:pStyle w:val="ListParagraph"/>
        <w:numPr>
          <w:ilvl w:val="0"/>
          <w:numId w:val="12"/>
        </w:numPr>
        <w:jc w:val="both"/>
      </w:pPr>
      <w:r w:rsidRPr="00C40B5B">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C40B5B">
        <w:rPr>
          <w:i/>
        </w:rPr>
        <w:t>Ahmet</w:t>
      </w:r>
      <w:proofErr w:type="spellEnd"/>
      <w:r w:rsidRPr="00C40B5B">
        <w:rPr>
          <w:i/>
        </w:rPr>
        <w:t xml:space="preserve"> </w:t>
      </w:r>
      <w:proofErr w:type="spellStart"/>
      <w:r w:rsidRPr="00C40B5B">
        <w:rPr>
          <w:i/>
        </w:rPr>
        <w:t>Özkan</w:t>
      </w:r>
      <w:proofErr w:type="spellEnd"/>
      <w:r w:rsidRPr="00C40B5B">
        <w:rPr>
          <w:i/>
        </w:rPr>
        <w:t xml:space="preserve"> and </w:t>
      </w:r>
      <w:r w:rsidRPr="00C40B5B">
        <w:rPr>
          <w:i/>
        </w:rPr>
        <w:lastRenderedPageBreak/>
        <w:t>Others v. Turkey</w:t>
      </w:r>
      <w:r w:rsidRPr="00C40B5B">
        <w:t xml:space="preserve">, cited in § </w:t>
      </w:r>
      <w:r w:rsidR="001D1BE4" w:rsidRPr="00C40B5B">
        <w:t>73</w:t>
      </w:r>
      <w:r w:rsidR="00CF7241" w:rsidRPr="00C40B5B">
        <w:t xml:space="preserve"> </w:t>
      </w:r>
      <w:r w:rsidRPr="00C40B5B">
        <w:t>above, at §§ 311</w:t>
      </w:r>
      <w:r w:rsidRPr="00C40B5B">
        <w:noBreakHyphen/>
        <w:t xml:space="preserve">314; </w:t>
      </w:r>
      <w:proofErr w:type="spellStart"/>
      <w:r w:rsidRPr="00C40B5B">
        <w:rPr>
          <w:i/>
        </w:rPr>
        <w:t>Isayeva</w:t>
      </w:r>
      <w:proofErr w:type="spellEnd"/>
      <w:r w:rsidRPr="00C40B5B">
        <w:rPr>
          <w:i/>
        </w:rPr>
        <w:t xml:space="preserve"> v. Russia</w:t>
      </w:r>
      <w:r w:rsidRPr="00C40B5B">
        <w:t xml:space="preserve">, </w:t>
      </w:r>
      <w:r w:rsidR="00CF7241" w:rsidRPr="00C40B5B">
        <w:t xml:space="preserve">cited in § </w:t>
      </w:r>
      <w:r w:rsidR="001D1BE4" w:rsidRPr="00C40B5B">
        <w:t>73</w:t>
      </w:r>
      <w:r w:rsidR="00CF7241" w:rsidRPr="00C40B5B">
        <w:t xml:space="preserve"> above, </w:t>
      </w:r>
      <w:r w:rsidRPr="00C40B5B">
        <w:t xml:space="preserve">§§ 211-214 and the cases cited therein).” ECtHR [GC], </w:t>
      </w:r>
      <w:r w:rsidRPr="00C40B5B">
        <w:rPr>
          <w:i/>
        </w:rPr>
        <w:t>Al-</w:t>
      </w:r>
      <w:proofErr w:type="spellStart"/>
      <w:r w:rsidRPr="00C40B5B">
        <w:rPr>
          <w:i/>
        </w:rPr>
        <w:t>Skeini</w:t>
      </w:r>
      <w:proofErr w:type="spellEnd"/>
      <w:r w:rsidRPr="00C40B5B">
        <w:rPr>
          <w:i/>
        </w:rPr>
        <w:t xml:space="preserve"> and Others v. United Kingdom</w:t>
      </w:r>
      <w:r w:rsidRPr="00C40B5B">
        <w:t>, no. 55721/07, judgment of 7 July 2011, § 167, ECHR 2011).</w:t>
      </w:r>
      <w:bookmarkEnd w:id="32"/>
      <w:bookmarkEnd w:id="33"/>
    </w:p>
    <w:p w:rsidR="00046EBD" w:rsidRPr="00C40B5B" w:rsidRDefault="00046EBD" w:rsidP="00046EBD">
      <w:pPr>
        <w:pStyle w:val="ListParagraph"/>
      </w:pPr>
    </w:p>
    <w:p w:rsidR="00046EBD" w:rsidRPr="00C40B5B" w:rsidRDefault="007000C3" w:rsidP="00046EBD">
      <w:pPr>
        <w:pStyle w:val="ListParagraph"/>
        <w:ind w:left="360"/>
        <w:jc w:val="both"/>
      </w:pPr>
      <w:bookmarkStart w:id="34" w:name="_Ref366163783"/>
      <w:r w:rsidRPr="00C40B5B">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C40B5B">
        <w:rPr>
          <w:i/>
          <w:iCs/>
        </w:rPr>
        <w:t>El-</w:t>
      </w:r>
      <w:proofErr w:type="spellStart"/>
      <w:r w:rsidRPr="00C40B5B">
        <w:rPr>
          <w:i/>
          <w:iCs/>
        </w:rPr>
        <w:t>Masri</w:t>
      </w:r>
      <w:proofErr w:type="spellEnd"/>
      <w:r w:rsidRPr="00C40B5B">
        <w:rPr>
          <w:i/>
          <w:iCs/>
        </w:rPr>
        <w:t xml:space="preserve"> v. The Former Yugoslav Republic of Macedonia</w:t>
      </w:r>
      <w:r w:rsidRPr="00C40B5B">
        <w:t xml:space="preserve">, no. 39630/09, judgment of 13 December 2012, § 191; ECtHR, </w:t>
      </w:r>
      <w:r w:rsidRPr="00C40B5B">
        <w:rPr>
          <w:i/>
          <w:iCs/>
        </w:rPr>
        <w:t xml:space="preserve">Al </w:t>
      </w:r>
      <w:proofErr w:type="spellStart"/>
      <w:r w:rsidRPr="00C40B5B">
        <w:rPr>
          <w:i/>
          <w:iCs/>
        </w:rPr>
        <w:t>Nashiri</w:t>
      </w:r>
      <w:proofErr w:type="spellEnd"/>
      <w:r w:rsidRPr="00C40B5B">
        <w:rPr>
          <w:i/>
          <w:iCs/>
        </w:rPr>
        <w:t xml:space="preserve"> v. Poland</w:t>
      </w:r>
      <w:r w:rsidRPr="00C40B5B">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proofErr w:type="spellStart"/>
      <w:r w:rsidRPr="00C40B5B">
        <w:rPr>
          <w:i/>
          <w:iCs/>
        </w:rPr>
        <w:t>Schedko</w:t>
      </w:r>
      <w:proofErr w:type="spellEnd"/>
      <w:r w:rsidRPr="00C40B5B">
        <w:rPr>
          <w:i/>
          <w:iCs/>
        </w:rPr>
        <w:t xml:space="preserve"> and </w:t>
      </w:r>
      <w:proofErr w:type="spellStart"/>
      <w:r w:rsidRPr="00C40B5B">
        <w:rPr>
          <w:i/>
          <w:iCs/>
        </w:rPr>
        <w:t>Bondarenko</w:t>
      </w:r>
      <w:proofErr w:type="spellEnd"/>
      <w:r w:rsidRPr="00C40B5B">
        <w:rPr>
          <w:i/>
          <w:iCs/>
        </w:rPr>
        <w:t xml:space="preserve"> v. Belarus</w:t>
      </w:r>
      <w:r w:rsidRPr="00C40B5B">
        <w:t xml:space="preserve">, Communication no. 886/1999, views of 3 April 2003, § 10.2, CCPR/C/77/D/886/1999; HRC, </w:t>
      </w:r>
      <w:r w:rsidRPr="00C40B5B">
        <w:rPr>
          <w:i/>
          <w:iCs/>
        </w:rPr>
        <w:t xml:space="preserve">Mariam, Philippe, </w:t>
      </w:r>
      <w:proofErr w:type="spellStart"/>
      <w:r w:rsidRPr="00C40B5B">
        <w:rPr>
          <w:i/>
          <w:iCs/>
        </w:rPr>
        <w:t>Auguste</w:t>
      </w:r>
      <w:proofErr w:type="spellEnd"/>
      <w:r w:rsidRPr="00C40B5B">
        <w:rPr>
          <w:i/>
          <w:iCs/>
        </w:rPr>
        <w:t xml:space="preserve"> and Thomas </w:t>
      </w:r>
      <w:proofErr w:type="spellStart"/>
      <w:r w:rsidRPr="00C40B5B">
        <w:rPr>
          <w:i/>
          <w:iCs/>
        </w:rPr>
        <w:t>Sankara</w:t>
      </w:r>
      <w:proofErr w:type="spellEnd"/>
      <w:r w:rsidRPr="00C40B5B">
        <w:rPr>
          <w:i/>
          <w:iCs/>
        </w:rPr>
        <w:t xml:space="preserve"> v. Burkina Faso</w:t>
      </w:r>
      <w:r w:rsidRPr="00C40B5B">
        <w:t>, Communication no. 1159/2003, views of 8 March 2006</w:t>
      </w:r>
      <w:r w:rsidRPr="00C40B5B">
        <w:rPr>
          <w:color w:val="000000"/>
          <w:sz w:val="27"/>
          <w:szCs w:val="27"/>
          <w:shd w:val="clear" w:color="auto" w:fill="FFFFFF"/>
        </w:rPr>
        <w:t xml:space="preserve">, </w:t>
      </w:r>
      <w:r w:rsidRPr="00C40B5B">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C40B5B">
        <w:t>Emmerson</w:t>
      </w:r>
      <w:proofErr w:type="spellEnd"/>
      <w:r w:rsidRPr="00C40B5B">
        <w:t xml:space="preserve">, </w:t>
      </w:r>
      <w:r w:rsidRPr="00C40B5B">
        <w:rPr>
          <w:i/>
          <w:iCs/>
        </w:rPr>
        <w:t>Framework Principles for securing the accountability of public officials for gross and systematic human rights violations committed in the context of State counter-terrorist initiatives</w:t>
      </w:r>
      <w:r w:rsidRPr="00C40B5B">
        <w:t>, UN Document A/HRC/22/52, 1 March 2013, § 23-26).</w:t>
      </w:r>
    </w:p>
    <w:p w:rsidR="007000C3" w:rsidRPr="00C40B5B" w:rsidRDefault="007000C3" w:rsidP="00046EBD">
      <w:pPr>
        <w:pStyle w:val="ListParagraph"/>
        <w:ind w:left="360"/>
        <w:jc w:val="both"/>
      </w:pPr>
    </w:p>
    <w:p w:rsidR="00046EBD" w:rsidRPr="00C40B5B" w:rsidRDefault="00046EBD" w:rsidP="00046EBD">
      <w:pPr>
        <w:pStyle w:val="ListParagraph"/>
        <w:numPr>
          <w:ilvl w:val="0"/>
          <w:numId w:val="7"/>
        </w:numPr>
        <w:contextualSpacing/>
        <w:jc w:val="both"/>
        <w:rPr>
          <w:i/>
          <w:lang w:eastAsia="en-US"/>
        </w:rPr>
      </w:pPr>
      <w:r w:rsidRPr="00C40B5B">
        <w:rPr>
          <w:i/>
        </w:rPr>
        <w:t>Applicability</w:t>
      </w:r>
      <w:r w:rsidRPr="00C40B5B">
        <w:rPr>
          <w:i/>
          <w:lang w:eastAsia="en-US"/>
        </w:rPr>
        <w:t xml:space="preserve"> of Article 2 to the Kosovo context</w:t>
      </w:r>
    </w:p>
    <w:p w:rsidR="00046EBD" w:rsidRPr="00C40B5B" w:rsidRDefault="00046EBD" w:rsidP="00046EBD">
      <w:pPr>
        <w:pStyle w:val="ListParagraph"/>
        <w:ind w:left="360"/>
        <w:jc w:val="both"/>
      </w:pPr>
    </w:p>
    <w:bookmarkEnd w:id="34"/>
    <w:p w:rsidR="00046EBD" w:rsidRPr="00C40B5B" w:rsidRDefault="00E33171" w:rsidP="00046EBD">
      <w:pPr>
        <w:pStyle w:val="ListParagraph"/>
        <w:numPr>
          <w:ilvl w:val="0"/>
          <w:numId w:val="12"/>
        </w:numPr>
        <w:jc w:val="both"/>
      </w:pPr>
      <w:r w:rsidRPr="00C40B5B">
        <w:t xml:space="preserve">The Panel is conscious that Mr </w:t>
      </w:r>
      <w:proofErr w:type="spellStart"/>
      <w:r w:rsidRPr="00C40B5B">
        <w:t>Svetozar</w:t>
      </w:r>
      <w:proofErr w:type="spellEnd"/>
      <w:r w:rsidRPr="00C40B5B">
        <w:t xml:space="preserve"> </w:t>
      </w:r>
      <w:proofErr w:type="spellStart"/>
      <w:r w:rsidRPr="00C40B5B">
        <w:t>Tomić</w:t>
      </w:r>
      <w:proofErr w:type="spellEnd"/>
      <w:r w:rsidRPr="00C40B5B">
        <w:t xml:space="preserve"> was abducted in 1998 before the deployment of UNMIK in Kosovo, when crime, violence and insecurity were rife</w:t>
      </w:r>
      <w:r w:rsidR="009E0B01" w:rsidRPr="00C40B5B">
        <w:t>.</w:t>
      </w:r>
    </w:p>
    <w:p w:rsidR="00046EBD" w:rsidRPr="00C40B5B" w:rsidRDefault="00046EBD" w:rsidP="00046EBD">
      <w:pPr>
        <w:pStyle w:val="ListParagraph"/>
        <w:ind w:left="360"/>
        <w:jc w:val="both"/>
      </w:pPr>
    </w:p>
    <w:p w:rsidR="00046EBD" w:rsidRPr="00C40B5B" w:rsidRDefault="008C61C8" w:rsidP="00046EBD">
      <w:pPr>
        <w:pStyle w:val="ListParagraph"/>
        <w:numPr>
          <w:ilvl w:val="0"/>
          <w:numId w:val="12"/>
        </w:numPr>
        <w:jc w:val="both"/>
      </w:pPr>
      <w:r w:rsidRPr="00C40B5B">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46EBD" w:rsidRPr="00C40B5B" w:rsidRDefault="00046EBD" w:rsidP="00046EBD">
      <w:pPr>
        <w:pStyle w:val="ListParagraph"/>
      </w:pPr>
    </w:p>
    <w:p w:rsidR="00046EBD" w:rsidRPr="00C40B5B" w:rsidRDefault="00FF3527" w:rsidP="00046EBD">
      <w:pPr>
        <w:pStyle w:val="ListParagraph"/>
        <w:numPr>
          <w:ilvl w:val="0"/>
          <w:numId w:val="12"/>
        </w:numPr>
        <w:jc w:val="both"/>
      </w:pPr>
      <w:r w:rsidRPr="00C40B5B">
        <w:t xml:space="preserve">The </w:t>
      </w:r>
      <w:r w:rsidRPr="00C40B5B">
        <w:rPr>
          <w:lang w:eastAsia="nl-BE"/>
        </w:rPr>
        <w:t>Panel</w:t>
      </w:r>
      <w:r w:rsidRPr="00C40B5B">
        <w:t xml:space="preserve"> considers that this raises two main questions: first, whether the standards of Article 2 continue to apply in situation of conflict or generalised violence and, second, whether such standards shall be considered fully applicable to UNMIK.</w:t>
      </w:r>
    </w:p>
    <w:p w:rsidR="00046EBD" w:rsidRPr="00C40B5B" w:rsidRDefault="00046EBD" w:rsidP="00046EBD">
      <w:pPr>
        <w:pStyle w:val="ListParagraph"/>
      </w:pPr>
    </w:p>
    <w:p w:rsidR="00046EBD" w:rsidRPr="00C40B5B" w:rsidRDefault="005125E2" w:rsidP="00046EBD">
      <w:pPr>
        <w:pStyle w:val="ListParagraph"/>
        <w:numPr>
          <w:ilvl w:val="0"/>
          <w:numId w:val="12"/>
        </w:numPr>
        <w:jc w:val="both"/>
      </w:pPr>
      <w:r w:rsidRPr="00C40B5B">
        <w:t xml:space="preserve">As regards the applicability of Article 2 to UNMIK, the Panel recalls </w:t>
      </w:r>
      <w:r w:rsidRPr="00C40B5B">
        <w:rPr>
          <w:lang w:eastAsia="nl-BE"/>
        </w:rPr>
        <w:t xml:space="preserve">that with the adoption of the UNMIK Regulation No. 1999/1 on 25 July 1999 UNMIK undertook an obligation to </w:t>
      </w:r>
      <w:r w:rsidRPr="00C40B5B">
        <w:rPr>
          <w:lang w:eastAsia="nl-BE"/>
        </w:rPr>
        <w:lastRenderedPageBreak/>
        <w:t xml:space="preserve">observe internationally recognised human rights standards in exercising its </w:t>
      </w:r>
      <w:r w:rsidRPr="00C40B5B">
        <w:t>functions</w:t>
      </w:r>
      <w:r w:rsidRPr="00C40B5B">
        <w:rPr>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C40B5B">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C40B5B">
        <w:rPr>
          <w:i/>
        </w:rPr>
        <w:t>Milogorić</w:t>
      </w:r>
      <w:proofErr w:type="spellEnd"/>
      <w:r w:rsidRPr="00C40B5B">
        <w:t xml:space="preserve"> </w:t>
      </w:r>
      <w:r w:rsidRPr="00C40B5B">
        <w:rPr>
          <w:i/>
        </w:rPr>
        <w:t>and Others,</w:t>
      </w:r>
      <w:r w:rsidRPr="00C40B5B">
        <w:t xml:space="preserve"> nos. 38/08 and others, opinion of 24 March 2011, § 44; </w:t>
      </w:r>
      <w:proofErr w:type="spellStart"/>
      <w:r w:rsidRPr="00C40B5B">
        <w:rPr>
          <w:i/>
        </w:rPr>
        <w:t>Berisha</w:t>
      </w:r>
      <w:proofErr w:type="spellEnd"/>
      <w:r w:rsidRPr="00C40B5B">
        <w:rPr>
          <w:i/>
        </w:rPr>
        <w:t xml:space="preserve"> and Others,</w:t>
      </w:r>
      <w:r w:rsidRPr="00C40B5B">
        <w:t xml:space="preserve"> nos. 27/08 and others, opinion of 23 February 2011,</w:t>
      </w:r>
      <w:r w:rsidRPr="00C40B5B">
        <w:rPr>
          <w:i/>
        </w:rPr>
        <w:t xml:space="preserve"> </w:t>
      </w:r>
      <w:r w:rsidRPr="00C40B5B">
        <w:t xml:space="preserve">§ 25; </w:t>
      </w:r>
      <w:proofErr w:type="spellStart"/>
      <w:r w:rsidRPr="00C40B5B">
        <w:rPr>
          <w:i/>
        </w:rPr>
        <w:t>Lalić</w:t>
      </w:r>
      <w:proofErr w:type="spellEnd"/>
      <w:r w:rsidRPr="00C40B5B">
        <w:rPr>
          <w:i/>
        </w:rPr>
        <w:t xml:space="preserve"> and Others</w:t>
      </w:r>
      <w:r w:rsidRPr="00C40B5B">
        <w:t>, nos. 09/08 and others, opinion of 9 June 2012, § 22).</w:t>
      </w:r>
      <w:bookmarkStart w:id="35" w:name="_Ref366241246"/>
    </w:p>
    <w:p w:rsidR="00046EBD" w:rsidRPr="00C40B5B" w:rsidRDefault="00046EBD" w:rsidP="00046EBD">
      <w:pPr>
        <w:pStyle w:val="ListParagraph"/>
      </w:pPr>
    </w:p>
    <w:p w:rsidR="00046EBD" w:rsidRPr="00C40B5B" w:rsidRDefault="005125E2" w:rsidP="00046EBD">
      <w:pPr>
        <w:pStyle w:val="ListParagraph"/>
        <w:numPr>
          <w:ilvl w:val="0"/>
          <w:numId w:val="12"/>
        </w:numPr>
        <w:jc w:val="both"/>
      </w:pPr>
      <w:r w:rsidRPr="00C40B5B">
        <w:t>Concerning the applicability of Article 2 to situations of conflict or generalised violence, the Panel recalls that the European Court o</w:t>
      </w:r>
      <w:r w:rsidR="007F14FA" w:rsidRPr="00C40B5B">
        <w:t>f</w:t>
      </w:r>
      <w:r w:rsidRPr="00C40B5B">
        <w:t xml:space="preserve"> Human Rights has established the applicability of Article 2 to post-conflict situations, including in countries of the former Yugoslavia (see, among other examples, ECtHR, </w:t>
      </w:r>
      <w:r w:rsidRPr="00C40B5B">
        <w:rPr>
          <w:i/>
        </w:rPr>
        <w:t>Palić v. Bosnia and Herzegovina,</w:t>
      </w:r>
      <w:r w:rsidRPr="00C40B5B">
        <w:t xml:space="preserve"> cited in § </w:t>
      </w:r>
      <w:r w:rsidR="001D1BE4" w:rsidRPr="00C40B5B">
        <w:t>73</w:t>
      </w:r>
      <w:r w:rsidR="007F14FA" w:rsidRPr="00C40B5B">
        <w:t xml:space="preserve"> </w:t>
      </w:r>
      <w:r w:rsidRPr="00C40B5B">
        <w:t xml:space="preserve">above, and ECtHR, </w:t>
      </w:r>
      <w:proofErr w:type="spellStart"/>
      <w:r w:rsidRPr="00C40B5B">
        <w:rPr>
          <w:i/>
        </w:rPr>
        <w:t>Jularić</w:t>
      </w:r>
      <w:proofErr w:type="spellEnd"/>
      <w:r w:rsidRPr="00C40B5B">
        <w:rPr>
          <w:i/>
        </w:rPr>
        <w:t xml:space="preserve"> v. Croatia</w:t>
      </w:r>
      <w:r w:rsidRPr="00C40B5B">
        <w:t xml:space="preserve">, no. 20106/06, judgment of 20 January 2011). The Court has further held that that the procedural obligation under Article 2 continues to apply in “difficult security conditions, including in a context of armed conflict” (see ECtHR [GC], </w:t>
      </w:r>
      <w:r w:rsidRPr="00C40B5B">
        <w:rPr>
          <w:i/>
        </w:rPr>
        <w:t>Al-</w:t>
      </w:r>
      <w:proofErr w:type="spellStart"/>
      <w:r w:rsidRPr="00C40B5B">
        <w:rPr>
          <w:i/>
        </w:rPr>
        <w:t>Skeini</w:t>
      </w:r>
      <w:proofErr w:type="spellEnd"/>
      <w:r w:rsidRPr="00C40B5B">
        <w:rPr>
          <w:i/>
        </w:rPr>
        <w:t xml:space="preserve"> and Others v. the United Kingdom</w:t>
      </w:r>
      <w:r w:rsidRPr="00C40B5B">
        <w:t xml:space="preserve">, cited in § </w:t>
      </w:r>
      <w:r w:rsidR="001D1BE4" w:rsidRPr="00C40B5B">
        <w:t>77</w:t>
      </w:r>
      <w:r w:rsidRPr="00C40B5B">
        <w:t xml:space="preserve"> above, at § 164; see also ECtHR, </w:t>
      </w:r>
      <w:proofErr w:type="spellStart"/>
      <w:r w:rsidRPr="00C40B5B">
        <w:rPr>
          <w:i/>
        </w:rPr>
        <w:t>Güleç</w:t>
      </w:r>
      <w:proofErr w:type="spellEnd"/>
      <w:r w:rsidRPr="00C40B5B">
        <w:rPr>
          <w:i/>
        </w:rPr>
        <w:t xml:space="preserve"> v. Turkey</w:t>
      </w:r>
      <w:r w:rsidRPr="00C40B5B">
        <w:t>, judgment of 27 July 1998, § 81, Reports 1998-IV; ECtHR,</w:t>
      </w:r>
      <w:r w:rsidRPr="00C40B5B">
        <w:rPr>
          <w:i/>
        </w:rPr>
        <w:t xml:space="preserve"> </w:t>
      </w:r>
      <w:proofErr w:type="spellStart"/>
      <w:r w:rsidRPr="00C40B5B">
        <w:rPr>
          <w:i/>
        </w:rPr>
        <w:t>Ergi</w:t>
      </w:r>
      <w:proofErr w:type="spellEnd"/>
      <w:r w:rsidRPr="00C40B5B">
        <w:rPr>
          <w:i/>
        </w:rPr>
        <w:t xml:space="preserve"> v. Turkey</w:t>
      </w:r>
      <w:r w:rsidRPr="00C40B5B">
        <w:t>, judgment of 28 July 1998, §§ 79 and 82, Reports 1998-IV; ECtHR,</w:t>
      </w:r>
      <w:r w:rsidRPr="00C40B5B">
        <w:rPr>
          <w:i/>
        </w:rPr>
        <w:t xml:space="preserve"> </w:t>
      </w:r>
      <w:proofErr w:type="spellStart"/>
      <w:r w:rsidRPr="00C40B5B">
        <w:rPr>
          <w:i/>
        </w:rPr>
        <w:t>Ahmet</w:t>
      </w:r>
      <w:proofErr w:type="spellEnd"/>
      <w:r w:rsidRPr="00C40B5B">
        <w:rPr>
          <w:i/>
        </w:rPr>
        <w:t xml:space="preserve"> </w:t>
      </w:r>
      <w:proofErr w:type="spellStart"/>
      <w:r w:rsidRPr="00C40B5B">
        <w:rPr>
          <w:i/>
        </w:rPr>
        <w:t>Özkan</w:t>
      </w:r>
      <w:proofErr w:type="spellEnd"/>
      <w:r w:rsidRPr="00C40B5B">
        <w:rPr>
          <w:i/>
        </w:rPr>
        <w:t xml:space="preserve"> and Others v. Turkey</w:t>
      </w:r>
      <w:r w:rsidRPr="00C40B5B">
        <w:t xml:space="preserve">, </w:t>
      </w:r>
      <w:r w:rsidR="00CF7241" w:rsidRPr="00C40B5B">
        <w:t xml:space="preserve">cited in § </w:t>
      </w:r>
      <w:r w:rsidR="001D1BE4" w:rsidRPr="00C40B5B">
        <w:t>72</w:t>
      </w:r>
      <w:r w:rsidR="00CF7241" w:rsidRPr="00C40B5B">
        <w:t xml:space="preserve"> above</w:t>
      </w:r>
      <w:r w:rsidRPr="00C40B5B">
        <w:t>, at §§ 85-90, 309-320 and 326-330;</w:t>
      </w:r>
      <w:r w:rsidRPr="00C40B5B">
        <w:rPr>
          <w:i/>
        </w:rPr>
        <w:t xml:space="preserve"> </w:t>
      </w:r>
      <w:proofErr w:type="spellStart"/>
      <w:r w:rsidRPr="00C40B5B">
        <w:rPr>
          <w:i/>
        </w:rPr>
        <w:t>Isayeva</w:t>
      </w:r>
      <w:proofErr w:type="spellEnd"/>
      <w:r w:rsidRPr="00C40B5B">
        <w:rPr>
          <w:i/>
        </w:rPr>
        <w:t xml:space="preserve"> v. Russia</w:t>
      </w:r>
      <w:r w:rsidRPr="00C40B5B">
        <w:t xml:space="preserve">, </w:t>
      </w:r>
      <w:r w:rsidR="00CF7241" w:rsidRPr="00C40B5B">
        <w:t xml:space="preserve">cited in § </w:t>
      </w:r>
      <w:r w:rsidR="001D1BE4" w:rsidRPr="00C40B5B">
        <w:t>72</w:t>
      </w:r>
      <w:r w:rsidR="00CF7241" w:rsidRPr="00C40B5B">
        <w:t xml:space="preserve"> above</w:t>
      </w:r>
      <w:r w:rsidRPr="00C40B5B">
        <w:t xml:space="preserve">, at §§ 180 and 210; ECtHR, </w:t>
      </w:r>
      <w:proofErr w:type="spellStart"/>
      <w:r w:rsidRPr="00C40B5B">
        <w:rPr>
          <w:i/>
        </w:rPr>
        <w:t>Kanlibaş</w:t>
      </w:r>
      <w:proofErr w:type="spellEnd"/>
      <w:r w:rsidRPr="00C40B5B">
        <w:rPr>
          <w:i/>
        </w:rPr>
        <w:t xml:space="preserve"> v. Turkey</w:t>
      </w:r>
      <w:r w:rsidRPr="00C40B5B">
        <w:t>, no. 32444/96, judgment of 8 December 2005, §§ 39-51).</w:t>
      </w:r>
      <w:bookmarkEnd w:id="35"/>
      <w:r w:rsidRPr="00C40B5B">
        <w:t xml:space="preserve"> </w:t>
      </w:r>
      <w:bookmarkStart w:id="36" w:name="_Ref366241459"/>
    </w:p>
    <w:p w:rsidR="00046EBD" w:rsidRPr="00C40B5B" w:rsidRDefault="00046EBD" w:rsidP="00046EBD">
      <w:pPr>
        <w:pStyle w:val="ListParagraph"/>
        <w:ind w:left="360"/>
        <w:jc w:val="both"/>
      </w:pPr>
    </w:p>
    <w:p w:rsidR="00046EBD" w:rsidRPr="00C40B5B" w:rsidRDefault="005125E2" w:rsidP="00046EBD">
      <w:pPr>
        <w:pStyle w:val="ListParagraph"/>
        <w:numPr>
          <w:ilvl w:val="0"/>
          <w:numId w:val="12"/>
        </w:numPr>
        <w:jc w:val="both"/>
      </w:pPr>
      <w:r w:rsidRPr="00C40B5B">
        <w:t xml:space="preserve">The Court has acknowledged that “where the death to be investigated under </w:t>
      </w:r>
      <w:r w:rsidR="007F14FA" w:rsidRPr="00C40B5B">
        <w:t xml:space="preserve">Article 2 occurs in circumstances of generalised violence, armed conflict or insurgency, obstacles may be placed in the way of investigators and […] concrete </w:t>
      </w:r>
      <w:r w:rsidRPr="00C40B5B">
        <w:t xml:space="preserve">constraints may compel the use of less effective measures of investigation or may cause an investigation to be delayed” (see, ECtHR [GC], </w:t>
      </w:r>
      <w:r w:rsidRPr="00C40B5B">
        <w:rPr>
          <w:i/>
        </w:rPr>
        <w:t>Al-</w:t>
      </w:r>
      <w:proofErr w:type="spellStart"/>
      <w:r w:rsidRPr="00C40B5B">
        <w:rPr>
          <w:i/>
        </w:rPr>
        <w:t>Skeini</w:t>
      </w:r>
      <w:proofErr w:type="spellEnd"/>
      <w:r w:rsidRPr="00C40B5B">
        <w:rPr>
          <w:i/>
        </w:rPr>
        <w:t xml:space="preserve"> and Others v. the United Kingdom, </w:t>
      </w:r>
      <w:r w:rsidRPr="00C40B5B">
        <w:t>cited above, at §164;</w:t>
      </w:r>
      <w:r w:rsidRPr="00C40B5B">
        <w:rPr>
          <w:i/>
        </w:rPr>
        <w:t xml:space="preserve"> </w:t>
      </w:r>
      <w:r w:rsidRPr="00C40B5B">
        <w:t>ECtHR,</w:t>
      </w:r>
      <w:r w:rsidRPr="00C40B5B">
        <w:rPr>
          <w:i/>
        </w:rPr>
        <w:t xml:space="preserve"> Bazorkina v. Russia</w:t>
      </w:r>
      <w:r w:rsidRPr="00C40B5B">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C40B5B">
        <w:rPr>
          <w:i/>
        </w:rPr>
        <w:t>Kaya v. Turkey</w:t>
      </w:r>
      <w:r w:rsidRPr="00C40B5B">
        <w:t xml:space="preserve">, cited in § </w:t>
      </w:r>
      <w:r w:rsidR="001D1BE4" w:rsidRPr="00C40B5B">
        <w:t>70</w:t>
      </w:r>
      <w:r w:rsidR="00CF7241" w:rsidRPr="00C40B5B">
        <w:t xml:space="preserve"> </w:t>
      </w:r>
      <w:r w:rsidRPr="00C40B5B">
        <w:t>above, at §§ 86</w:t>
      </w:r>
      <w:r w:rsidRPr="00C40B5B">
        <w:noBreakHyphen/>
        <w:t xml:space="preserve">92; ECtHR, </w:t>
      </w:r>
      <w:proofErr w:type="spellStart"/>
      <w:r w:rsidRPr="00C40B5B">
        <w:rPr>
          <w:i/>
        </w:rPr>
        <w:t>Ergi</w:t>
      </w:r>
      <w:proofErr w:type="spellEnd"/>
      <w:r w:rsidR="00347A90" w:rsidRPr="00C40B5B">
        <w:rPr>
          <w:i/>
        </w:rPr>
        <w:t xml:space="preserve"> v Turkey</w:t>
      </w:r>
      <w:r w:rsidRPr="00C40B5B">
        <w:rPr>
          <w:i/>
        </w:rPr>
        <w:t xml:space="preserve">, </w:t>
      </w:r>
      <w:r w:rsidRPr="00C40B5B">
        <w:t xml:space="preserve">cited above, at §§ 82-85; ECtHR [GC], </w:t>
      </w:r>
      <w:proofErr w:type="spellStart"/>
      <w:r w:rsidRPr="00C40B5B">
        <w:rPr>
          <w:i/>
        </w:rPr>
        <w:t>Tanrıkulu</w:t>
      </w:r>
      <w:proofErr w:type="spellEnd"/>
      <w:r w:rsidRPr="00C40B5B">
        <w:rPr>
          <w:i/>
        </w:rPr>
        <w:t xml:space="preserve"> v. Turkey</w:t>
      </w:r>
      <w:r w:rsidRPr="00C40B5B">
        <w:t xml:space="preserve">, no. 23763/94, judgment of 8 July 1999, §§ 101-110, ECHR 1999-IV; ECtHR, </w:t>
      </w:r>
      <w:proofErr w:type="spellStart"/>
      <w:r w:rsidRPr="00C40B5B">
        <w:rPr>
          <w:i/>
        </w:rPr>
        <w:t>Khashiyev</w:t>
      </w:r>
      <w:proofErr w:type="spellEnd"/>
      <w:r w:rsidRPr="00C40B5B">
        <w:rPr>
          <w:i/>
        </w:rPr>
        <w:t xml:space="preserve"> and </w:t>
      </w:r>
      <w:proofErr w:type="spellStart"/>
      <w:r w:rsidRPr="00C40B5B">
        <w:rPr>
          <w:i/>
        </w:rPr>
        <w:t>Akayeva</w:t>
      </w:r>
      <w:proofErr w:type="spellEnd"/>
      <w:r w:rsidRPr="00C40B5B">
        <w:rPr>
          <w:i/>
        </w:rPr>
        <w:t xml:space="preserve"> v. Russia</w:t>
      </w:r>
      <w:r w:rsidRPr="00C40B5B">
        <w:t xml:space="preserve">, nos. 57942/00 and 57945/00, judgment of 24 February 2005, §§ 156-166; ECtHR, </w:t>
      </w:r>
      <w:proofErr w:type="spellStart"/>
      <w:r w:rsidRPr="00C40B5B">
        <w:rPr>
          <w:i/>
        </w:rPr>
        <w:t>Isayeva</w:t>
      </w:r>
      <w:proofErr w:type="spellEnd"/>
      <w:r w:rsidRPr="00C40B5B">
        <w:rPr>
          <w:i/>
        </w:rPr>
        <w:t xml:space="preserve"> v. Russia</w:t>
      </w:r>
      <w:r w:rsidRPr="00C40B5B">
        <w:t>, cited above, at §§ 215</w:t>
      </w:r>
      <w:r w:rsidRPr="00C40B5B">
        <w:noBreakHyphen/>
        <w:t xml:space="preserve">224; ECtHR, </w:t>
      </w:r>
      <w:proofErr w:type="spellStart"/>
      <w:r w:rsidRPr="00C40B5B">
        <w:rPr>
          <w:i/>
        </w:rPr>
        <w:t>Musayev</w:t>
      </w:r>
      <w:proofErr w:type="spellEnd"/>
      <w:r w:rsidRPr="00C40B5B">
        <w:rPr>
          <w:i/>
        </w:rPr>
        <w:t xml:space="preserve"> and Others v. Russia</w:t>
      </w:r>
      <w:r w:rsidRPr="00C40B5B">
        <w:t>, nos. 57941/00 and others, judgment of 26 July 2007, §§ 158-165).</w:t>
      </w:r>
      <w:bookmarkEnd w:id="36"/>
      <w:r w:rsidRPr="00C40B5B">
        <w:t xml:space="preserve"> </w:t>
      </w:r>
    </w:p>
    <w:p w:rsidR="00046EBD" w:rsidRPr="00C40B5B" w:rsidRDefault="00046EBD" w:rsidP="00046EBD">
      <w:pPr>
        <w:pStyle w:val="ListParagraph"/>
        <w:ind w:left="360"/>
        <w:jc w:val="both"/>
      </w:pPr>
    </w:p>
    <w:p w:rsidR="00046EBD" w:rsidRPr="00C40B5B" w:rsidRDefault="005125E2" w:rsidP="00046EBD">
      <w:pPr>
        <w:pStyle w:val="ListParagraph"/>
        <w:numPr>
          <w:ilvl w:val="0"/>
          <w:numId w:val="12"/>
        </w:numPr>
        <w:jc w:val="both"/>
      </w:pPr>
      <w:r w:rsidRPr="00C40B5B">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E90CFE" w:rsidRPr="00C40B5B">
        <w:fldChar w:fldCharType="begin"/>
      </w:r>
      <w:r w:rsidR="00E90CFE" w:rsidRPr="00C40B5B">
        <w:instrText xml:space="preserve"> REF _Ref366241114 \r \h  \* MERGEFORMAT </w:instrText>
      </w:r>
      <w:r w:rsidR="00E90CFE" w:rsidRPr="00C40B5B">
        <w:fldChar w:fldCharType="separate"/>
      </w:r>
      <w:r w:rsidR="002C0D0D">
        <w:t>68</w:t>
      </w:r>
      <w:r w:rsidR="00E90CFE" w:rsidRPr="00C40B5B">
        <w:fldChar w:fldCharType="end"/>
      </w:r>
      <w:r w:rsidR="007F14FA" w:rsidRPr="00C40B5B">
        <w:t xml:space="preserve"> </w:t>
      </w:r>
      <w:r w:rsidRPr="00C40B5B">
        <w:t xml:space="preserve">above, at § 1; HRC, </w:t>
      </w:r>
      <w:r w:rsidRPr="00C40B5B">
        <w:rPr>
          <w:i/>
        </w:rPr>
        <w:t>Abubakar Amirov and Aïzan Amirova v. Russi</w:t>
      </w:r>
      <w:r w:rsidRPr="00C40B5B">
        <w:t>a</w:t>
      </w:r>
      <w:r w:rsidRPr="00C40B5B">
        <w:rPr>
          <w:i/>
        </w:rPr>
        <w:t>n Federation</w:t>
      </w:r>
      <w:r w:rsidRPr="00C40B5B">
        <w:t xml:space="preserve">, </w:t>
      </w:r>
      <w:r w:rsidRPr="00C40B5B">
        <w:lastRenderedPageBreak/>
        <w:t xml:space="preserve">communication no. 1447/2006, views of 22 April 2009, § 11.2, </w:t>
      </w:r>
      <w:r w:rsidRPr="00C40B5B">
        <w:rPr>
          <w:bCs/>
        </w:rPr>
        <w:t>CCPR/C/95/D/1447/2006</w:t>
      </w:r>
      <w:r w:rsidRPr="00C40B5B">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37" w:name="_Ref343611663"/>
    </w:p>
    <w:p w:rsidR="00046EBD" w:rsidRPr="00C40B5B" w:rsidRDefault="00046EBD" w:rsidP="00046EBD">
      <w:pPr>
        <w:pStyle w:val="ListParagraph"/>
      </w:pPr>
    </w:p>
    <w:p w:rsidR="00046EBD" w:rsidRPr="00C40B5B" w:rsidRDefault="005125E2" w:rsidP="00046EBD">
      <w:pPr>
        <w:pStyle w:val="ListParagraph"/>
        <w:numPr>
          <w:ilvl w:val="0"/>
          <w:numId w:val="12"/>
        </w:numPr>
        <w:jc w:val="both"/>
      </w:pPr>
      <w:r w:rsidRPr="00C40B5B">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40B5B">
        <w:rPr>
          <w:i/>
        </w:rPr>
        <w:t>mutatis mutandis</w:t>
      </w:r>
      <w:r w:rsidRPr="00C40B5B">
        <w:t xml:space="preserve">, ECtHR, </w:t>
      </w:r>
      <w:r w:rsidRPr="00C40B5B">
        <w:rPr>
          <w:i/>
        </w:rPr>
        <w:t>R.R. and Others v. Hungary</w:t>
      </w:r>
      <w:r w:rsidRPr="00C40B5B">
        <w:t xml:space="preserve">, no. 19400/11, judgment of 4 December 2012, §§ 28-32), as well as to consider the special vulnerability of displaced persons in post-conflict situations (see ECtHR [GC], </w:t>
      </w:r>
      <w:proofErr w:type="spellStart"/>
      <w:r w:rsidRPr="00C40B5B">
        <w:rPr>
          <w:i/>
        </w:rPr>
        <w:t>Sargsyan</w:t>
      </w:r>
      <w:proofErr w:type="spellEnd"/>
      <w:r w:rsidRPr="00C40B5B">
        <w:rPr>
          <w:i/>
        </w:rPr>
        <w:t xml:space="preserve"> v. Azerbaijan, </w:t>
      </w:r>
      <w:r w:rsidRPr="00C40B5B">
        <w:t xml:space="preserve">no. 40167/06, decision of 14 December 2011, § 145; and ECtHR [GC], </w:t>
      </w:r>
      <w:proofErr w:type="spellStart"/>
      <w:r w:rsidRPr="00C40B5B">
        <w:rPr>
          <w:i/>
        </w:rPr>
        <w:t>Chiragov</w:t>
      </w:r>
      <w:proofErr w:type="spellEnd"/>
      <w:r w:rsidRPr="00C40B5B">
        <w:rPr>
          <w:i/>
        </w:rPr>
        <w:t xml:space="preserve"> and Others v. Armenia</w:t>
      </w:r>
      <w:r w:rsidRPr="00C40B5B">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5E4D0E" w:rsidRPr="00C40B5B">
        <w:t>17</w:t>
      </w:r>
      <w:r w:rsidRPr="00C40B5B">
        <w:t xml:space="preserve"> above).</w:t>
      </w:r>
      <w:bookmarkStart w:id="38" w:name="_Ref366163789"/>
      <w:bookmarkEnd w:id="37"/>
    </w:p>
    <w:p w:rsidR="00046EBD" w:rsidRPr="00C40B5B" w:rsidRDefault="00046EBD" w:rsidP="00046EBD">
      <w:pPr>
        <w:pStyle w:val="ListParagraph"/>
        <w:ind w:left="360"/>
        <w:jc w:val="both"/>
      </w:pPr>
    </w:p>
    <w:p w:rsidR="00046EBD" w:rsidRPr="00C40B5B" w:rsidRDefault="005125E2" w:rsidP="00046EBD">
      <w:pPr>
        <w:pStyle w:val="ListParagraph"/>
        <w:numPr>
          <w:ilvl w:val="0"/>
          <w:numId w:val="12"/>
        </w:numPr>
        <w:jc w:val="both"/>
        <w:rPr>
          <w:rStyle w:val="sb8d990e2"/>
        </w:rPr>
      </w:pPr>
      <w:r w:rsidRPr="00C40B5B">
        <w:rPr>
          <w:rStyle w:val="sb8d990e2"/>
        </w:rPr>
        <w:t xml:space="preserve">The Panel </w:t>
      </w:r>
      <w:r w:rsidRPr="00C40B5B">
        <w:t>further</w:t>
      </w:r>
      <w:r w:rsidRPr="00C40B5B">
        <w:rPr>
          <w:rStyle w:val="sb8d990e2"/>
        </w:rPr>
        <w:t xml:space="preserve"> notes that its task is not to review relevant practices or alleged obstacles to the conduct of effective investigations </w:t>
      </w:r>
      <w:r w:rsidRPr="00C40B5B">
        <w:rPr>
          <w:rStyle w:val="s6b621b36"/>
          <w:i/>
        </w:rPr>
        <w:t xml:space="preserve">in </w:t>
      </w:r>
      <w:r w:rsidRPr="00C40B5B">
        <w:rPr>
          <w:rStyle w:val="wordhighlighted"/>
          <w:i/>
        </w:rPr>
        <w:t>abstracto</w:t>
      </w:r>
      <w:r w:rsidRPr="00C40B5B">
        <w:rPr>
          <w:rStyle w:val="sb8d990e2"/>
        </w:rPr>
        <w:t>, but only in relation to their specific </w:t>
      </w:r>
      <w:r w:rsidRPr="00C40B5B">
        <w:t>application</w:t>
      </w:r>
      <w:r w:rsidRPr="00C40B5B">
        <w:rPr>
          <w:rStyle w:val="sb8d990e2"/>
        </w:rPr>
        <w:t xml:space="preserve"> to the particular circumstances of a situation subject of a complaint before it (see, ECtHR, </w:t>
      </w:r>
      <w:r w:rsidRPr="00C40B5B">
        <w:rPr>
          <w:rStyle w:val="s6b621b36"/>
          <w:i/>
        </w:rPr>
        <w:t>Brogan and Others v. the United Kingdom</w:t>
      </w:r>
      <w:r w:rsidRPr="00C40B5B">
        <w:rPr>
          <w:rStyle w:val="sb8d990e2"/>
        </w:rPr>
        <w:t xml:space="preserve">, </w:t>
      </w:r>
      <w:r w:rsidRPr="00C40B5B">
        <w:rPr>
          <w:rStyle w:val="column01"/>
        </w:rPr>
        <w:t>judgment of</w:t>
      </w:r>
      <w:r w:rsidRPr="00C40B5B">
        <w:rPr>
          <w:rStyle w:val="sb8d990e2"/>
        </w:rPr>
        <w:t xml:space="preserve"> 29 November 1988,</w:t>
      </w:r>
      <w:r w:rsidRPr="00C40B5B">
        <w:t xml:space="preserve"> </w:t>
      </w:r>
      <w:r w:rsidRPr="00C40B5B">
        <w:rPr>
          <w:rStyle w:val="sb8d990e2"/>
        </w:rPr>
        <w:t xml:space="preserve">§ 53, Series A no. 145-B). </w:t>
      </w:r>
      <w:r w:rsidRPr="00C40B5B">
        <w:t xml:space="preserve">The Panel thus agrees with the SRSG that the nature and degree of scrutiny to determine whether the effectiveness of the investigation satisfies the minimum threshold depends on the circumstances of the particular case. </w:t>
      </w:r>
      <w:r w:rsidRPr="00C40B5B">
        <w:rPr>
          <w:rStyle w:val="sb8d990e2"/>
        </w:rPr>
        <w:t>For these reasons, the Panel considers that it will establish with regard to each case if all reasonable steps were taken to conduct an effective investigation as prescribed by Article 2,</w:t>
      </w:r>
      <w:r w:rsidRPr="00C40B5B">
        <w:t xml:space="preserve"> </w:t>
      </w:r>
      <w:r w:rsidRPr="00C40B5B">
        <w:rPr>
          <w:rStyle w:val="sb8d990e2"/>
        </w:rPr>
        <w:t>having regard to the realities of the investigative work in Kosovo.</w:t>
      </w:r>
      <w:bookmarkEnd w:id="38"/>
    </w:p>
    <w:p w:rsidR="00046EBD" w:rsidRPr="00C40B5B" w:rsidRDefault="00046EBD" w:rsidP="00046EBD">
      <w:pPr>
        <w:pStyle w:val="ListParagraph"/>
      </w:pPr>
    </w:p>
    <w:p w:rsidR="00046EBD" w:rsidRPr="00C40B5B" w:rsidRDefault="008856A3" w:rsidP="00046EBD">
      <w:pPr>
        <w:pStyle w:val="ListParagraph"/>
        <w:numPr>
          <w:ilvl w:val="0"/>
          <w:numId w:val="12"/>
        </w:numPr>
        <w:jc w:val="both"/>
      </w:pPr>
      <w:r w:rsidRPr="00C40B5B">
        <w:t xml:space="preserve">Lastly, in response to the SRSG’s objection that Article 2 must be interpreted in a way which does not impose an impossible or disproportionate burden on the authorities, either in the context of </w:t>
      </w:r>
      <w:r w:rsidR="006E22C0" w:rsidRPr="00C40B5B">
        <w:t>policin</w:t>
      </w:r>
      <w:r w:rsidRPr="00C40B5B">
        <w:t xml:space="preserve">g activities or that of priorities and resources, the Panel takes into account that the European Court has established that what amounts to an impossible and/or disproportionate burden must be measured by the very particular facts and contexts (see ECtHR, </w:t>
      </w:r>
      <w:r w:rsidRPr="00C40B5B">
        <w:rPr>
          <w:i/>
        </w:rPr>
        <w:t>Palić v. Bosnia and Herzegovina,</w:t>
      </w:r>
      <w:r w:rsidRPr="00C40B5B">
        <w:t xml:space="preserve"> cited in § </w:t>
      </w:r>
      <w:r w:rsidR="001D1BE4" w:rsidRPr="00C40B5B">
        <w:t>73</w:t>
      </w:r>
      <w:r w:rsidRPr="00C40B5B">
        <w:t xml:space="preserve"> above, at § 70; </w:t>
      </w:r>
      <w:proofErr w:type="spellStart"/>
      <w:r w:rsidRPr="00C40B5B">
        <w:rPr>
          <w:i/>
        </w:rPr>
        <w:t>Brecknell</w:t>
      </w:r>
      <w:proofErr w:type="spellEnd"/>
      <w:r w:rsidRPr="00C40B5B">
        <w:rPr>
          <w:i/>
        </w:rPr>
        <w:t xml:space="preserve"> v. The United Kingdom,</w:t>
      </w:r>
      <w:r w:rsidRPr="00C40B5B">
        <w:t xml:space="preserve"> no. 32457/04, </w:t>
      </w:r>
      <w:r w:rsidR="00074D6B" w:rsidRPr="00C40B5B">
        <w:t xml:space="preserve">judgment of </w:t>
      </w:r>
      <w:r w:rsidRPr="00C40B5B">
        <w:t>27 November 2007, § 62)</w:t>
      </w:r>
      <w:r w:rsidR="002D4ED0" w:rsidRPr="00C40B5B">
        <w:t>.</w:t>
      </w:r>
    </w:p>
    <w:p w:rsidR="00046EBD" w:rsidRPr="00C40B5B" w:rsidRDefault="00046EBD" w:rsidP="00046EBD">
      <w:pPr>
        <w:pStyle w:val="ListParagraph"/>
      </w:pPr>
    </w:p>
    <w:p w:rsidR="00046EBD" w:rsidRPr="00C40B5B" w:rsidRDefault="00046EBD" w:rsidP="00B202AE">
      <w:pPr>
        <w:pStyle w:val="ListParagraph"/>
        <w:numPr>
          <w:ilvl w:val="0"/>
          <w:numId w:val="7"/>
        </w:numPr>
        <w:contextualSpacing/>
        <w:jc w:val="both"/>
        <w:rPr>
          <w:i/>
        </w:rPr>
      </w:pPr>
      <w:r w:rsidRPr="00C40B5B">
        <w:rPr>
          <w:i/>
        </w:rPr>
        <w:t>Compliance with Article 2 in the present case</w:t>
      </w:r>
    </w:p>
    <w:p w:rsidR="00046EBD" w:rsidRPr="00C40B5B" w:rsidRDefault="00046EBD" w:rsidP="00046EBD">
      <w:pPr>
        <w:pStyle w:val="ListParagraph"/>
      </w:pPr>
    </w:p>
    <w:p w:rsidR="00185CAB" w:rsidRPr="00C40B5B" w:rsidRDefault="00B23ED2" w:rsidP="00185CAB">
      <w:pPr>
        <w:pStyle w:val="ListParagraph"/>
        <w:numPr>
          <w:ilvl w:val="0"/>
          <w:numId w:val="10"/>
        </w:numPr>
        <w:jc w:val="both"/>
      </w:pPr>
      <w:r w:rsidRPr="00C40B5B">
        <w:t>Turning to the particulars of this case,</w:t>
      </w:r>
      <w:r w:rsidR="00185CAB" w:rsidRPr="00C40B5B">
        <w:rPr>
          <w:bCs/>
        </w:rPr>
        <w:t xml:space="preserve"> the</w:t>
      </w:r>
      <w:r w:rsidR="00185CAB" w:rsidRPr="00C40B5B">
        <w:t xml:space="preserve"> Panel notes that there were obvious shortcomings in the conduct of the investigation from its </w:t>
      </w:r>
      <w:r w:rsidR="00185CAB" w:rsidRPr="00C40B5B">
        <w:rPr>
          <w:lang w:eastAsia="en-GB"/>
        </w:rPr>
        <w:t>commencement</w:t>
      </w:r>
      <w:r w:rsidR="00185CAB" w:rsidRPr="00C40B5B">
        <w:t xml:space="preserve">. However, in light of the considerations developed above concerning its limited temporal jurisdiction (see § </w:t>
      </w:r>
      <w:r w:rsidR="001D1BE4" w:rsidRPr="00C40B5B">
        <w:t>44</w:t>
      </w:r>
      <w:r w:rsidR="00185CAB" w:rsidRPr="00C40B5B">
        <w:t xml:space="preserve"> above), the Panel recalls that it is competent </w:t>
      </w:r>
      <w:r w:rsidR="00185CAB" w:rsidRPr="00C40B5B">
        <w:rPr>
          <w:i/>
        </w:rPr>
        <w:t>ratione temporis</w:t>
      </w:r>
      <w:r w:rsidR="00185CAB" w:rsidRPr="00C40B5B">
        <w:t xml:space="preserve"> to evaluate the compliance of the investigation with Article 2 of the ECHR only for the period after 23 April 2005, while taking into consideration the state of the case at that date (see ECtHR, </w:t>
      </w:r>
      <w:r w:rsidR="00185CAB" w:rsidRPr="00C40B5B">
        <w:rPr>
          <w:i/>
        </w:rPr>
        <w:t>Palić v. Bosnia and Herzegovina,</w:t>
      </w:r>
      <w:r w:rsidR="00185CAB" w:rsidRPr="00C40B5B">
        <w:t xml:space="preserve"> cited in § </w:t>
      </w:r>
      <w:r w:rsidR="001D1BE4" w:rsidRPr="00C40B5B">
        <w:t>71</w:t>
      </w:r>
      <w:r w:rsidR="00185CAB" w:rsidRPr="00C40B5B">
        <w:t xml:space="preserve"> above, at § 70). The period under review ends on 9 December 2008, with EULEX taking over responsibility in the area of administration of justice (see § </w:t>
      </w:r>
      <w:r w:rsidR="00185CAB" w:rsidRPr="00C40B5B">
        <w:fldChar w:fldCharType="begin"/>
      </w:r>
      <w:r w:rsidR="00185CAB" w:rsidRPr="00C40B5B">
        <w:instrText xml:space="preserve"> REF _Ref346123927 \r \h  \* MERGEFORMAT </w:instrText>
      </w:r>
      <w:r w:rsidR="00185CAB" w:rsidRPr="00C40B5B">
        <w:fldChar w:fldCharType="separate"/>
      </w:r>
      <w:r w:rsidR="002C0D0D">
        <w:t>19</w:t>
      </w:r>
      <w:r w:rsidR="00185CAB" w:rsidRPr="00C40B5B">
        <w:fldChar w:fldCharType="end"/>
      </w:r>
      <w:r w:rsidR="00185CAB" w:rsidRPr="00C40B5B">
        <w:t xml:space="preserve"> above).</w:t>
      </w:r>
      <w:bookmarkStart w:id="39" w:name="_Ref379796585"/>
    </w:p>
    <w:p w:rsidR="008C7D01" w:rsidRPr="00C40B5B" w:rsidRDefault="008C7D01" w:rsidP="008C7D01">
      <w:pPr>
        <w:pStyle w:val="ListParagraph"/>
        <w:ind w:left="360"/>
        <w:jc w:val="both"/>
      </w:pPr>
    </w:p>
    <w:p w:rsidR="00185CAB" w:rsidRPr="00C40B5B" w:rsidRDefault="00185CAB" w:rsidP="00185CAB">
      <w:pPr>
        <w:pStyle w:val="ListParagraph"/>
        <w:numPr>
          <w:ilvl w:val="0"/>
          <w:numId w:val="10"/>
        </w:numPr>
        <w:jc w:val="both"/>
      </w:pPr>
      <w:r w:rsidRPr="00C40B5B">
        <w:t xml:space="preserve">Having noted the SRSG’s assertion that the file submitted to the Panel may be incomplete, and his failure to provide further explanation in relation to this (see § </w:t>
      </w:r>
      <w:r w:rsidR="001D1BE4" w:rsidRPr="00C40B5B">
        <w:t>62</w:t>
      </w:r>
      <w:r w:rsidRPr="00C40B5B">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would indicate a failure directly attributable to UNMIK, either when it was exercising its executive functions, or in its current capacity.</w:t>
      </w:r>
    </w:p>
    <w:p w:rsidR="00185CAB" w:rsidRPr="00C40B5B" w:rsidRDefault="00185CAB" w:rsidP="00185CAB">
      <w:pPr>
        <w:pStyle w:val="ListParagraph"/>
        <w:ind w:left="360"/>
        <w:jc w:val="both"/>
      </w:pPr>
    </w:p>
    <w:bookmarkEnd w:id="39"/>
    <w:p w:rsidR="00712E54" w:rsidRPr="00C40B5B" w:rsidRDefault="00185CAB" w:rsidP="00185CAB">
      <w:pPr>
        <w:pStyle w:val="ListParagraph"/>
        <w:numPr>
          <w:ilvl w:val="0"/>
          <w:numId w:val="12"/>
        </w:numPr>
        <w:jc w:val="both"/>
      </w:pPr>
      <w:r w:rsidRPr="00C40B5B">
        <w:t>T</w:t>
      </w:r>
      <w:r w:rsidR="00B23ED2" w:rsidRPr="00C40B5B">
        <w:t xml:space="preserve">he Panel </w:t>
      </w:r>
      <w:r w:rsidR="004F308E" w:rsidRPr="00C40B5B">
        <w:t>notes that t</w:t>
      </w:r>
      <w:r w:rsidR="009E1CA5" w:rsidRPr="00C40B5B">
        <w:t xml:space="preserve">he investigative file </w:t>
      </w:r>
      <w:r w:rsidR="00B23ED2" w:rsidRPr="00C40B5B">
        <w:t xml:space="preserve">reflects that </w:t>
      </w:r>
      <w:r w:rsidR="009E1CA5" w:rsidRPr="00C40B5B">
        <w:t xml:space="preserve">UNMIK became aware of </w:t>
      </w:r>
      <w:r w:rsidR="0075201A"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r w:rsidR="004F308E" w:rsidRPr="00C40B5B">
        <w:t>’s</w:t>
      </w:r>
      <w:proofErr w:type="spellEnd"/>
      <w:r w:rsidR="00046EBD" w:rsidRPr="00C40B5B">
        <w:t xml:space="preserve"> abduction</w:t>
      </w:r>
      <w:r w:rsidR="000A21A8" w:rsidRPr="00C40B5B">
        <w:t xml:space="preserve"> </w:t>
      </w:r>
      <w:r w:rsidR="000817DC" w:rsidRPr="00C40B5B">
        <w:t xml:space="preserve">at the latest </w:t>
      </w:r>
      <w:r w:rsidR="00B202AE" w:rsidRPr="00C40B5B">
        <w:t>by</w:t>
      </w:r>
      <w:r w:rsidR="004B627D" w:rsidRPr="00C40B5B">
        <w:t xml:space="preserve"> </w:t>
      </w:r>
      <w:r w:rsidR="00986939" w:rsidRPr="00C40B5B">
        <w:t>12 October 2001</w:t>
      </w:r>
      <w:r w:rsidR="00BD28A4" w:rsidRPr="00C40B5B">
        <w:t xml:space="preserve">, when his ante-mortem data was communicated by the ICRC to UNMIK (see § </w:t>
      </w:r>
      <w:r w:rsidR="00DC4B33" w:rsidRPr="00C40B5B">
        <w:t>2</w:t>
      </w:r>
      <w:r w:rsidR="00371F95" w:rsidRPr="00C40B5B">
        <w:t xml:space="preserve">5 </w:t>
      </w:r>
      <w:r w:rsidR="00BD28A4" w:rsidRPr="00C40B5B">
        <w:t xml:space="preserve">above). </w:t>
      </w:r>
    </w:p>
    <w:p w:rsidR="00712E54" w:rsidRPr="00C40B5B" w:rsidRDefault="00712E54" w:rsidP="00712E54">
      <w:pPr>
        <w:pStyle w:val="ListParagraph"/>
        <w:ind w:left="360"/>
        <w:jc w:val="both"/>
      </w:pPr>
    </w:p>
    <w:p w:rsidR="008C7D01" w:rsidRPr="00C40B5B" w:rsidRDefault="00185CAB" w:rsidP="008C7D01">
      <w:pPr>
        <w:pStyle w:val="ListParagraph"/>
        <w:numPr>
          <w:ilvl w:val="0"/>
          <w:numId w:val="12"/>
        </w:numPr>
        <w:jc w:val="both"/>
      </w:pPr>
      <w:r w:rsidRPr="00C40B5B">
        <w:t>The Panel notes that the UNMIK OMPF d</w:t>
      </w:r>
      <w:r w:rsidR="00B202AE" w:rsidRPr="00C40B5B">
        <w:t xml:space="preserve">iscovered the </w:t>
      </w:r>
      <w:r w:rsidRPr="00C40B5B">
        <w:t xml:space="preserve">mortal remains </w:t>
      </w:r>
      <w:r w:rsidR="00B202AE" w:rsidRPr="00C40B5B">
        <w:t xml:space="preserve">later identified as those </w:t>
      </w:r>
      <w:r w:rsidRPr="00C40B5B">
        <w:t xml:space="preserve">of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986939" w:rsidRPr="00C40B5B">
        <w:t xml:space="preserve"> on 24 May 2000</w:t>
      </w:r>
      <w:r w:rsidRPr="00C40B5B">
        <w:t xml:space="preserve">. </w:t>
      </w:r>
      <w:r w:rsidR="00986939" w:rsidRPr="00C40B5B">
        <w:t>Moreover, these remains had been</w:t>
      </w:r>
      <w:r w:rsidR="000817DC" w:rsidRPr="00C40B5B">
        <w:t xml:space="preserve"> earlier</w:t>
      </w:r>
      <w:r w:rsidR="00986939" w:rsidRPr="00C40B5B">
        <w:t xml:space="preserve"> discovered, analysed for </w:t>
      </w:r>
      <w:smartTag w:uri="urn:schemas-microsoft-com:office:smarttags" w:element="stockticker">
        <w:r w:rsidR="00986939" w:rsidRPr="00C40B5B">
          <w:t>DNA</w:t>
        </w:r>
      </w:smartTag>
      <w:r w:rsidR="00986939" w:rsidRPr="00C40B5B">
        <w:t xml:space="preserve"> evidence and reburied, </w:t>
      </w:r>
      <w:r w:rsidR="00F95BEC" w:rsidRPr="00C40B5B">
        <w:t xml:space="preserve">ostensibly by the ICTY. It is unclear whether </w:t>
      </w:r>
      <w:r w:rsidR="000817DC" w:rsidRPr="00C40B5B">
        <w:t xml:space="preserve">or not </w:t>
      </w:r>
      <w:r w:rsidR="00F95BEC" w:rsidRPr="00C40B5B">
        <w:t xml:space="preserve">the ICTY communicated this </w:t>
      </w:r>
      <w:r w:rsidR="000817DC" w:rsidRPr="00C40B5B">
        <w:t xml:space="preserve">information </w:t>
      </w:r>
      <w:r w:rsidR="00F95BEC" w:rsidRPr="00C40B5B">
        <w:t>to UNMIK</w:t>
      </w:r>
      <w:r w:rsidR="000817DC" w:rsidRPr="00C40B5B">
        <w:t xml:space="preserve">. </w:t>
      </w:r>
      <w:r w:rsidR="00F95BEC" w:rsidRPr="00C40B5B">
        <w:t xml:space="preserve"> </w:t>
      </w:r>
      <w:r w:rsidRPr="00C40B5B">
        <w:t>An autopsy</w:t>
      </w:r>
      <w:r w:rsidR="00824E22" w:rsidRPr="00C40B5B">
        <w:t xml:space="preserve"> on the mortal remains</w:t>
      </w:r>
      <w:r w:rsidR="00B202AE" w:rsidRPr="00C40B5B">
        <w:t>, which</w:t>
      </w:r>
      <w:r w:rsidRPr="00C40B5B">
        <w:t xml:space="preserve"> was conduct</w:t>
      </w:r>
      <w:r w:rsidR="00F95BEC" w:rsidRPr="00C40B5B">
        <w:t xml:space="preserve">ed </w:t>
      </w:r>
      <w:r w:rsidR="00824E22" w:rsidRPr="00C40B5B">
        <w:t xml:space="preserve">by UNMIK </w:t>
      </w:r>
      <w:r w:rsidR="00F95BEC" w:rsidRPr="00C40B5B">
        <w:t>in December 2003</w:t>
      </w:r>
      <w:r w:rsidR="00B202AE" w:rsidRPr="00C40B5B">
        <w:t>, established</w:t>
      </w:r>
      <w:r w:rsidRPr="00C40B5B">
        <w:t xml:space="preserve"> that the death had been cause</w:t>
      </w:r>
      <w:r w:rsidR="00712E54" w:rsidRPr="00C40B5B">
        <w:t xml:space="preserve">d by </w:t>
      </w:r>
      <w:r w:rsidR="00D629C0" w:rsidRPr="00C40B5B">
        <w:t>“</w:t>
      </w:r>
      <w:r w:rsidR="00712E54" w:rsidRPr="00C40B5B">
        <w:t xml:space="preserve">gunshot to the </w:t>
      </w:r>
      <w:r w:rsidR="00986939" w:rsidRPr="00C40B5B">
        <w:t>chest</w:t>
      </w:r>
      <w:r w:rsidR="00D629C0" w:rsidRPr="00C40B5B">
        <w:t>”</w:t>
      </w:r>
      <w:r w:rsidR="00824E22" w:rsidRPr="00C40B5B">
        <w:t>.</w:t>
      </w:r>
      <w:r w:rsidR="007000C3" w:rsidRPr="00C40B5B">
        <w:t xml:space="preserve"> As shown in the investigative file, the UNMIK MPU opened a missing person file on the matter on 9 June 2002.</w:t>
      </w:r>
    </w:p>
    <w:p w:rsidR="00103F69" w:rsidRPr="00C40B5B" w:rsidRDefault="00103F69" w:rsidP="00103F69">
      <w:pPr>
        <w:jc w:val="both"/>
      </w:pPr>
    </w:p>
    <w:p w:rsidR="007226B8" w:rsidRPr="00C40B5B" w:rsidRDefault="008C7D01" w:rsidP="007226B8">
      <w:pPr>
        <w:pStyle w:val="ListParagraph"/>
        <w:numPr>
          <w:ilvl w:val="0"/>
          <w:numId w:val="12"/>
        </w:numPr>
        <w:suppressAutoHyphens w:val="0"/>
        <w:jc w:val="both"/>
      </w:pPr>
      <w:r w:rsidRPr="00C40B5B">
        <w:t>I</w:t>
      </w:r>
      <w:r w:rsidR="00F95BEC" w:rsidRPr="00C40B5B">
        <w:t>n March 2004</w:t>
      </w:r>
      <w:r w:rsidR="005D6318" w:rsidRPr="00C40B5B">
        <w:t xml:space="preserve">, the mortal remains </w:t>
      </w:r>
      <w:r w:rsidRPr="00C40B5B">
        <w:t xml:space="preserve">mentioned above </w:t>
      </w:r>
      <w:r w:rsidR="005D6318" w:rsidRPr="00C40B5B">
        <w:t xml:space="preserve">were identified as those of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5D6318" w:rsidRPr="00C40B5B">
        <w:t xml:space="preserve"> based on </w:t>
      </w:r>
      <w:r w:rsidR="00832F5D" w:rsidRPr="00C40B5B">
        <w:t xml:space="preserve">DNA </w:t>
      </w:r>
      <w:r w:rsidR="002C2DB3" w:rsidRPr="00C40B5B">
        <w:t>testing by the ICMP. UNMIK</w:t>
      </w:r>
      <w:r w:rsidR="00832F5D" w:rsidRPr="00C40B5B">
        <w:t xml:space="preserve"> identified </w:t>
      </w:r>
      <w:r w:rsidR="00D629C0" w:rsidRPr="00C40B5B">
        <w:t>the remains mentioned above over a year later i</w:t>
      </w:r>
      <w:r w:rsidR="00832F5D" w:rsidRPr="00C40B5B">
        <w:t xml:space="preserve">n September 2005 by </w:t>
      </w:r>
      <w:r w:rsidR="005D6318" w:rsidRPr="00C40B5B">
        <w:t>comparison of ante-mortem and post-mortem information</w:t>
      </w:r>
      <w:r w:rsidR="00D629C0" w:rsidRPr="00C40B5B">
        <w:t xml:space="preserve"> and DNA analysis</w:t>
      </w:r>
      <w:r w:rsidR="005D6318" w:rsidRPr="00C40B5B">
        <w:t xml:space="preserve"> (see </w:t>
      </w:r>
      <w:r w:rsidRPr="00C40B5B">
        <w:t xml:space="preserve">§ </w:t>
      </w:r>
      <w:r w:rsidR="00D629C0" w:rsidRPr="00C40B5B">
        <w:t>31</w:t>
      </w:r>
      <w:r w:rsidRPr="00C40B5B">
        <w:t xml:space="preserve"> above). </w:t>
      </w:r>
      <w:r w:rsidR="002235E4" w:rsidRPr="00C40B5B">
        <w:t xml:space="preserve">In the Panel’s view, as this particular “DNA sample 47” was confirmed as a bone belonging to Mr </w:t>
      </w:r>
      <w:proofErr w:type="spellStart"/>
      <w:r w:rsidR="00451E17" w:rsidRPr="00C40B5B">
        <w:t>Tomić</w:t>
      </w:r>
      <w:r w:rsidR="002235E4" w:rsidRPr="00C40B5B">
        <w:t>’s</w:t>
      </w:r>
      <w:proofErr w:type="spellEnd"/>
      <w:r w:rsidR="002235E4" w:rsidRPr="00C40B5B">
        <w:t xml:space="preserve"> body, then the cause of death in the death certificate should have been </w:t>
      </w:r>
      <w:r w:rsidR="000817DC" w:rsidRPr="00C40B5B">
        <w:t>specified</w:t>
      </w:r>
      <w:r w:rsidR="002235E4" w:rsidRPr="00C40B5B">
        <w:t xml:space="preserve"> as a gunshot wound. </w:t>
      </w:r>
      <w:r w:rsidRPr="00C40B5B">
        <w:t>The Panel notes that no explanation has been provided from the SRSG to clarify why</w:t>
      </w:r>
      <w:r w:rsidR="007226B8" w:rsidRPr="00C40B5B">
        <w:t xml:space="preserve"> the</w:t>
      </w:r>
      <w:r w:rsidRPr="00C40B5B">
        <w:t xml:space="preserve"> </w:t>
      </w:r>
      <w:r w:rsidR="007226B8" w:rsidRPr="00C40B5B">
        <w:t xml:space="preserve">family was </w:t>
      </w:r>
      <w:r w:rsidR="002C2DB3" w:rsidRPr="00C40B5B">
        <w:t xml:space="preserve">not </w:t>
      </w:r>
      <w:r w:rsidR="007226B8" w:rsidRPr="00C40B5B">
        <w:t xml:space="preserve">informed of this early identification and why </w:t>
      </w:r>
      <w:r w:rsidRPr="00C40B5B">
        <w:t>arrangements were not made at this time to confirm the identification through DNA test, as per standard practice</w:t>
      </w:r>
      <w:r w:rsidR="007226B8" w:rsidRPr="00C40B5B">
        <w:t xml:space="preserve"> in these cases</w:t>
      </w:r>
      <w:r w:rsidRPr="00C40B5B">
        <w:t xml:space="preserve">. </w:t>
      </w:r>
    </w:p>
    <w:p w:rsidR="007226B8" w:rsidRPr="00C40B5B" w:rsidRDefault="007226B8" w:rsidP="007226B8">
      <w:pPr>
        <w:pStyle w:val="ListParagraph"/>
        <w:ind w:left="360"/>
        <w:jc w:val="both"/>
      </w:pPr>
    </w:p>
    <w:p w:rsidR="009F3B89" w:rsidRPr="00C40B5B" w:rsidRDefault="00712E54" w:rsidP="00924BDE">
      <w:pPr>
        <w:pStyle w:val="ListParagraph"/>
        <w:numPr>
          <w:ilvl w:val="0"/>
          <w:numId w:val="12"/>
        </w:numPr>
        <w:jc w:val="both"/>
      </w:pPr>
      <w:r w:rsidRPr="00C40B5B">
        <w:t xml:space="preserve">The Panel </w:t>
      </w:r>
      <w:r w:rsidR="00334B24" w:rsidRPr="00C40B5B">
        <w:t>notes that</w:t>
      </w:r>
      <w:r w:rsidR="00185CAB" w:rsidRPr="00C40B5B">
        <w:t>, apart from</w:t>
      </w:r>
      <w:r w:rsidR="00781FB5" w:rsidRPr="00C40B5B">
        <w:t xml:space="preserve"> opening the case and</w:t>
      </w:r>
      <w:r w:rsidR="00185CAB" w:rsidRPr="00C40B5B">
        <w:t xml:space="preserve"> recording of the ante-mortem data </w:t>
      </w:r>
      <w:r w:rsidRPr="00C40B5B">
        <w:t>transmitted</w:t>
      </w:r>
      <w:r w:rsidR="00185CAB" w:rsidRPr="00C40B5B">
        <w:t xml:space="preserve"> from the ICRC,</w:t>
      </w:r>
      <w:r w:rsidR="00334B24" w:rsidRPr="00C40B5B">
        <w:t xml:space="preserve"> no</w:t>
      </w:r>
      <w:r w:rsidR="007226B8" w:rsidRPr="00C40B5B">
        <w:t xml:space="preserve"> meaningful</w:t>
      </w:r>
      <w:r w:rsidR="00334B24" w:rsidRPr="00C40B5B">
        <w:t xml:space="preserve"> </w:t>
      </w:r>
      <w:r w:rsidR="007226B8" w:rsidRPr="00C40B5B">
        <w:t>action</w:t>
      </w:r>
      <w:r w:rsidR="00185CAB" w:rsidRPr="00C40B5B">
        <w:t xml:space="preserve"> </w:t>
      </w:r>
      <w:r w:rsidR="007000C3" w:rsidRPr="00C40B5B">
        <w:t xml:space="preserve">was taken by </w:t>
      </w:r>
      <w:r w:rsidR="00334B24" w:rsidRPr="00C40B5B">
        <w:t>UNMIK</w:t>
      </w:r>
      <w:r w:rsidR="007226B8" w:rsidRPr="00C40B5B">
        <w:t xml:space="preserve"> </w:t>
      </w:r>
      <w:r w:rsidR="007000C3" w:rsidRPr="00C40B5B">
        <w:t xml:space="preserve">following the identification of the remains of Mr </w:t>
      </w:r>
      <w:proofErr w:type="spellStart"/>
      <w:r w:rsidR="007000C3" w:rsidRPr="00C40B5B">
        <w:t>Svetozar</w:t>
      </w:r>
      <w:proofErr w:type="spellEnd"/>
      <w:r w:rsidR="007000C3" w:rsidRPr="00C40B5B">
        <w:t xml:space="preserve"> </w:t>
      </w:r>
      <w:proofErr w:type="spellStart"/>
      <w:r w:rsidR="00E75855" w:rsidRPr="00C40B5B">
        <w:t>Tomić</w:t>
      </w:r>
      <w:proofErr w:type="spellEnd"/>
      <w:r w:rsidR="002235E4" w:rsidRPr="00C40B5B">
        <w:t xml:space="preserve"> in locating the perpetrators</w:t>
      </w:r>
      <w:r w:rsidR="007226B8" w:rsidRPr="00C40B5B">
        <w:t>.</w:t>
      </w:r>
      <w:r w:rsidR="00334B24" w:rsidRPr="00C40B5B">
        <w:t xml:space="preserve"> </w:t>
      </w:r>
      <w:r w:rsidR="00746F47" w:rsidRPr="00C40B5B">
        <w:rPr>
          <w:color w:val="000000"/>
        </w:rPr>
        <w:t xml:space="preserve">There is no evidence in the file that UNMIK investigators took basic steps such as </w:t>
      </w:r>
      <w:r w:rsidR="00924BDE" w:rsidRPr="00C40B5B">
        <w:rPr>
          <w:color w:val="000000"/>
        </w:rPr>
        <w:t>identifying and interviewing individuals residing at or located in</w:t>
      </w:r>
      <w:r w:rsidR="00B202AE" w:rsidRPr="00C40B5B">
        <w:rPr>
          <w:color w:val="000000"/>
        </w:rPr>
        <w:t xml:space="preserve"> the area of the alleged crime </w:t>
      </w:r>
      <w:r w:rsidR="00924BDE" w:rsidRPr="00C40B5B">
        <w:rPr>
          <w:color w:val="000000"/>
        </w:rPr>
        <w:t xml:space="preserve">(“canvassing” the area), and persons who knew the victim, </w:t>
      </w:r>
      <w:r w:rsidR="000817DC" w:rsidRPr="00C40B5B">
        <w:rPr>
          <w:color w:val="000000"/>
        </w:rPr>
        <w:t>who</w:t>
      </w:r>
      <w:r w:rsidR="00924BDE" w:rsidRPr="00C40B5B">
        <w:rPr>
          <w:color w:val="000000"/>
        </w:rPr>
        <w:t xml:space="preserve"> might have </w:t>
      </w:r>
      <w:r w:rsidR="000817DC" w:rsidRPr="00C40B5B">
        <w:rPr>
          <w:color w:val="000000"/>
        </w:rPr>
        <w:t xml:space="preserve">had </w:t>
      </w:r>
      <w:r w:rsidR="00924BDE" w:rsidRPr="00C40B5B">
        <w:rPr>
          <w:color w:val="000000"/>
        </w:rPr>
        <w:t>knowledge of pos</w:t>
      </w:r>
      <w:r w:rsidR="009F3B89" w:rsidRPr="00C40B5B">
        <w:rPr>
          <w:color w:val="000000"/>
        </w:rPr>
        <w:t xml:space="preserve">sible motives. </w:t>
      </w:r>
    </w:p>
    <w:p w:rsidR="009F3B89" w:rsidRPr="00C40B5B" w:rsidRDefault="009F3B89" w:rsidP="009F3B89">
      <w:pPr>
        <w:pStyle w:val="ListParagraph"/>
        <w:rPr>
          <w:color w:val="000000"/>
        </w:rPr>
      </w:pPr>
    </w:p>
    <w:p w:rsidR="007401D9" w:rsidRPr="00C40B5B" w:rsidRDefault="007226B8" w:rsidP="007401D9">
      <w:pPr>
        <w:pStyle w:val="ListParagraph"/>
        <w:numPr>
          <w:ilvl w:val="0"/>
          <w:numId w:val="12"/>
        </w:numPr>
        <w:jc w:val="both"/>
        <w:rPr>
          <w:bCs/>
        </w:rPr>
      </w:pPr>
      <w:r w:rsidRPr="00C40B5B">
        <w:t>The Panel also notes with co</w:t>
      </w:r>
      <w:r w:rsidR="00B202AE" w:rsidRPr="00C40B5B">
        <w:t>ncern the inadequacy of the one-</w:t>
      </w:r>
      <w:r w:rsidRPr="00C40B5B">
        <w:t>day ante-mortem investigation conducted by the UNMIK MPU o</w:t>
      </w:r>
      <w:r w:rsidRPr="00C40B5B">
        <w:rPr>
          <w:color w:val="000000"/>
        </w:rPr>
        <w:t xml:space="preserve">n </w:t>
      </w:r>
      <w:r w:rsidR="00576CC8" w:rsidRPr="00C40B5B">
        <w:rPr>
          <w:color w:val="000000"/>
        </w:rPr>
        <w:t>16 December 2004</w:t>
      </w:r>
      <w:r w:rsidRPr="00C40B5B">
        <w:rPr>
          <w:color w:val="000000"/>
        </w:rPr>
        <w:t xml:space="preserve">, probably after the complainant filed a criminal complaint with the DPPO in Prishtinë/Priština. The Panel notes </w:t>
      </w:r>
      <w:r w:rsidR="007E16C0" w:rsidRPr="00C40B5B">
        <w:rPr>
          <w:color w:val="000000"/>
        </w:rPr>
        <w:t xml:space="preserve">that this investigation consisted </w:t>
      </w:r>
      <w:r w:rsidR="00577764" w:rsidRPr="00C40B5B">
        <w:rPr>
          <w:color w:val="000000"/>
        </w:rPr>
        <w:t>of a telephone call made to the complainant to take her statement.</w:t>
      </w:r>
      <w:r w:rsidR="007E16C0" w:rsidRPr="00C40B5B">
        <w:t xml:space="preserve"> </w:t>
      </w:r>
      <w:r w:rsidR="00577764" w:rsidRPr="00C40B5B">
        <w:t xml:space="preserve">There is no record of any other action taken. </w:t>
      </w:r>
      <w:r w:rsidR="007401D9" w:rsidRPr="00C40B5B">
        <w:t xml:space="preserve">Had the investigators conducted a proper analysis of the case, they would have realised that the mortal remains of </w:t>
      </w:r>
      <w:r w:rsidR="007401D9" w:rsidRPr="00C40B5B">
        <w:rPr>
          <w:color w:val="000000"/>
        </w:rPr>
        <w:t>Mr</w:t>
      </w:r>
      <w:r w:rsidR="007401D9" w:rsidRPr="00C40B5B">
        <w:t xml:space="preserve"> </w:t>
      </w:r>
      <w:proofErr w:type="spellStart"/>
      <w:r w:rsidR="00820F3A" w:rsidRPr="00C40B5B">
        <w:t>Svetozar</w:t>
      </w:r>
      <w:proofErr w:type="spellEnd"/>
      <w:r w:rsidR="00820F3A" w:rsidRPr="00C40B5B">
        <w:t xml:space="preserve"> </w:t>
      </w:r>
      <w:proofErr w:type="spellStart"/>
      <w:r w:rsidR="00820F3A" w:rsidRPr="00C40B5B">
        <w:t>Tomić</w:t>
      </w:r>
      <w:proofErr w:type="spellEnd"/>
      <w:r w:rsidR="007401D9" w:rsidRPr="00C40B5B">
        <w:t xml:space="preserve"> had been already located and identif</w:t>
      </w:r>
      <w:r w:rsidR="00B202AE" w:rsidRPr="00C40B5B">
        <w:t>ied</w:t>
      </w:r>
      <w:r w:rsidR="00577764" w:rsidRPr="00C40B5B">
        <w:t xml:space="preserve"> by the ICMP in March 2004</w:t>
      </w:r>
      <w:r w:rsidR="007401D9" w:rsidRPr="00C40B5B">
        <w:t xml:space="preserve">. </w:t>
      </w:r>
    </w:p>
    <w:p w:rsidR="008C3B30" w:rsidRPr="00C40B5B" w:rsidRDefault="008C3B30" w:rsidP="008C3B30">
      <w:pPr>
        <w:pStyle w:val="ListParagraph"/>
        <w:rPr>
          <w:bCs/>
        </w:rPr>
      </w:pPr>
    </w:p>
    <w:p w:rsidR="008C3B30" w:rsidRPr="00C40B5B" w:rsidRDefault="008C3B30" w:rsidP="008C3B30">
      <w:pPr>
        <w:pStyle w:val="ListParagraph"/>
        <w:numPr>
          <w:ilvl w:val="0"/>
          <w:numId w:val="12"/>
        </w:numPr>
        <w:jc w:val="both"/>
      </w:pPr>
      <w:r w:rsidRPr="00C40B5B">
        <w:rPr>
          <w:color w:val="000000"/>
        </w:rPr>
        <w:t xml:space="preserve">The Panel </w:t>
      </w:r>
      <w:r w:rsidR="002235E4" w:rsidRPr="00C40B5B">
        <w:rPr>
          <w:color w:val="000000"/>
        </w:rPr>
        <w:t xml:space="preserve">notes that there are </w:t>
      </w:r>
      <w:r w:rsidRPr="00C40B5B">
        <w:rPr>
          <w:color w:val="000000"/>
        </w:rPr>
        <w:t xml:space="preserve">signs of a possible prior investigation </w:t>
      </w:r>
      <w:r w:rsidR="00817FBA" w:rsidRPr="00C40B5B">
        <w:rPr>
          <w:color w:val="000000"/>
        </w:rPr>
        <w:t xml:space="preserve">into the disappearance </w:t>
      </w:r>
      <w:r w:rsidRPr="00C40B5B">
        <w:rPr>
          <w:color w:val="000000"/>
        </w:rPr>
        <w:t>conducted by the ICTY</w:t>
      </w:r>
      <w:r w:rsidRPr="00C40B5B">
        <w:rPr>
          <w:rStyle w:val="FootnoteReference"/>
          <w:color w:val="000000"/>
        </w:rPr>
        <w:footnoteReference w:id="5"/>
      </w:r>
      <w:r w:rsidRPr="00C40B5B">
        <w:rPr>
          <w:color w:val="000000"/>
        </w:rPr>
        <w:t xml:space="preserve"> with the assistance of the OSCE-Kosovo Verification Mission and the HLC</w:t>
      </w:r>
      <w:r w:rsidR="00262624" w:rsidRPr="00C40B5B">
        <w:rPr>
          <w:color w:val="000000"/>
        </w:rPr>
        <w:t xml:space="preserve"> (see</w:t>
      </w:r>
      <w:r w:rsidR="00262624" w:rsidRPr="00C40B5B">
        <w:rPr>
          <w:bCs/>
        </w:rPr>
        <w:t xml:space="preserve"> § 24</w:t>
      </w:r>
      <w:r w:rsidR="009E0B01" w:rsidRPr="00C40B5B">
        <w:rPr>
          <w:bCs/>
        </w:rPr>
        <w:t xml:space="preserve"> &amp; §36</w:t>
      </w:r>
      <w:r w:rsidR="00262624" w:rsidRPr="00C40B5B">
        <w:rPr>
          <w:bCs/>
        </w:rPr>
        <w:t xml:space="preserve"> above)</w:t>
      </w:r>
      <w:r w:rsidR="000A50F8" w:rsidRPr="00C40B5B">
        <w:rPr>
          <w:color w:val="000000"/>
        </w:rPr>
        <w:t>. This included the</w:t>
      </w:r>
      <w:r w:rsidRPr="00C40B5B">
        <w:rPr>
          <w:color w:val="000000"/>
        </w:rPr>
        <w:t xml:space="preserve"> exhumation of the body, DNA testing, re-burial of the body and obtaining of information which included the names and locations of a potential witness and no less than six alleged perpetrators. There is nothing in the materials provided indicating any cooperation or coordination between UNMIK and the ICTY, OSCE or the HLC in this case. There is nothing in the file indicating that the named witness or any of the alleged perpetrators </w:t>
      </w:r>
      <w:r w:rsidR="00E33171" w:rsidRPr="00C40B5B">
        <w:rPr>
          <w:color w:val="000000"/>
        </w:rPr>
        <w:t>were</w:t>
      </w:r>
      <w:r w:rsidRPr="00C40B5B">
        <w:rPr>
          <w:color w:val="000000"/>
        </w:rPr>
        <w:t xml:space="preserve"> interviewed by </w:t>
      </w:r>
      <w:r w:rsidR="000A50F8" w:rsidRPr="00C40B5B">
        <w:rPr>
          <w:color w:val="000000"/>
        </w:rPr>
        <w:t>UNMIK or any of the above-mentioned bodies</w:t>
      </w:r>
      <w:r w:rsidRPr="00C40B5B">
        <w:rPr>
          <w:color w:val="000000"/>
        </w:rPr>
        <w:t>.</w:t>
      </w:r>
    </w:p>
    <w:p w:rsidR="007401D9" w:rsidRPr="00C40B5B" w:rsidRDefault="007401D9" w:rsidP="007401D9">
      <w:pPr>
        <w:pStyle w:val="ListParagraph"/>
        <w:ind w:left="360"/>
        <w:jc w:val="both"/>
        <w:rPr>
          <w:bCs/>
        </w:rPr>
      </w:pPr>
    </w:p>
    <w:p w:rsidR="0016135C" w:rsidRPr="00C40B5B" w:rsidRDefault="0016135C" w:rsidP="007401D9">
      <w:pPr>
        <w:pStyle w:val="ListParagraph"/>
        <w:numPr>
          <w:ilvl w:val="0"/>
          <w:numId w:val="12"/>
        </w:numPr>
        <w:jc w:val="both"/>
        <w:rPr>
          <w:bCs/>
        </w:rPr>
      </w:pPr>
      <w:r w:rsidRPr="00C40B5B">
        <w:rPr>
          <w:bCs/>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B7C68" w:rsidRPr="00C40B5B">
        <w:rPr>
          <w:bCs/>
        </w:rPr>
        <w:t>44</w:t>
      </w:r>
      <w:r w:rsidRPr="00C40B5B">
        <w:rPr>
          <w:bCs/>
        </w:rPr>
        <w:t xml:space="preserve"> above), the assessment of the whole investigation is brought within the period of the Panel’s jurisdiction.</w:t>
      </w:r>
    </w:p>
    <w:p w:rsidR="0016135C" w:rsidRPr="00C40B5B" w:rsidRDefault="0016135C" w:rsidP="0016135C">
      <w:pPr>
        <w:pStyle w:val="ListParagraph"/>
        <w:rPr>
          <w:color w:val="000000"/>
          <w:lang w:eastAsia="en-US"/>
        </w:rPr>
      </w:pPr>
    </w:p>
    <w:p w:rsidR="000E4F11" w:rsidRPr="00C40B5B" w:rsidRDefault="0016135C" w:rsidP="000E4F11">
      <w:pPr>
        <w:pStyle w:val="ListParagraph"/>
        <w:numPr>
          <w:ilvl w:val="0"/>
          <w:numId w:val="12"/>
        </w:numPr>
        <w:autoSpaceDE w:val="0"/>
        <w:jc w:val="both"/>
        <w:rPr>
          <w:color w:val="000000"/>
          <w:lang w:eastAsia="en-US"/>
        </w:rPr>
      </w:pPr>
      <w:r w:rsidRPr="00C40B5B">
        <w:rPr>
          <w:color w:val="000000"/>
          <w:lang w:eastAsia="en-US"/>
        </w:rPr>
        <w:t>The Panel notes that</w:t>
      </w:r>
      <w:r w:rsidR="000A50F8" w:rsidRPr="00C40B5B">
        <w:rPr>
          <w:color w:val="000000"/>
          <w:lang w:eastAsia="en-US"/>
        </w:rPr>
        <w:t xml:space="preserve"> the mortal remains of </w:t>
      </w:r>
      <w:r w:rsidR="000E4F11" w:rsidRPr="00C40B5B">
        <w:rPr>
          <w:color w:val="000000"/>
        </w:rPr>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0E4F11" w:rsidRPr="00C40B5B">
        <w:t xml:space="preserve"> were</w:t>
      </w:r>
      <w:r w:rsidR="00B202AE" w:rsidRPr="00C40B5B">
        <w:t xml:space="preserve"> again</w:t>
      </w:r>
      <w:r w:rsidR="000E4F11" w:rsidRPr="00C40B5B">
        <w:t xml:space="preserve"> identified through DNA analysis </w:t>
      </w:r>
      <w:r w:rsidR="000E4F11" w:rsidRPr="00C40B5B">
        <w:rPr>
          <w:color w:val="000000"/>
          <w:lang w:eastAsia="en-US"/>
        </w:rPr>
        <w:t>on</w:t>
      </w:r>
      <w:r w:rsidR="007401D9" w:rsidRPr="00C40B5B">
        <w:rPr>
          <w:color w:val="000000"/>
          <w:lang w:eastAsia="en-US"/>
        </w:rPr>
        <w:t xml:space="preserve"> </w:t>
      </w:r>
      <w:r w:rsidR="00CA10B8" w:rsidRPr="00C40B5B">
        <w:rPr>
          <w:color w:val="000000"/>
          <w:lang w:eastAsia="en-US"/>
        </w:rPr>
        <w:t>12 October 2005</w:t>
      </w:r>
      <w:r w:rsidR="007401D9" w:rsidRPr="00C40B5B">
        <w:rPr>
          <w:color w:val="000000"/>
          <w:lang w:eastAsia="en-US"/>
        </w:rPr>
        <w:t xml:space="preserve">, about </w:t>
      </w:r>
      <w:r w:rsidR="00CA10B8" w:rsidRPr="00C40B5B">
        <w:rPr>
          <w:color w:val="000000"/>
          <w:lang w:eastAsia="en-US"/>
        </w:rPr>
        <w:t xml:space="preserve">five </w:t>
      </w:r>
      <w:r w:rsidR="000E4F11" w:rsidRPr="00C40B5B">
        <w:rPr>
          <w:color w:val="000000"/>
          <w:lang w:eastAsia="en-US"/>
        </w:rPr>
        <w:t xml:space="preserve">years and half after they were first discovered by the OMPF </w:t>
      </w:r>
      <w:r w:rsidR="00C85CFF" w:rsidRPr="00C40B5B">
        <w:rPr>
          <w:color w:val="000000"/>
          <w:lang w:eastAsia="en-US"/>
        </w:rPr>
        <w:t xml:space="preserve">(see </w:t>
      </w:r>
      <w:r w:rsidR="005B7C68" w:rsidRPr="00C40B5B">
        <w:rPr>
          <w:bCs/>
        </w:rPr>
        <w:t>§ 29 above)</w:t>
      </w:r>
      <w:r w:rsidR="00C85CFF" w:rsidRPr="00C40B5B">
        <w:rPr>
          <w:bCs/>
        </w:rPr>
        <w:t xml:space="preserve"> </w:t>
      </w:r>
      <w:r w:rsidR="007401D9" w:rsidRPr="00C40B5B">
        <w:rPr>
          <w:color w:val="000000"/>
          <w:lang w:eastAsia="en-US"/>
        </w:rPr>
        <w:t xml:space="preserve">and </w:t>
      </w:r>
      <w:r w:rsidR="00CA10B8" w:rsidRPr="00C40B5B">
        <w:rPr>
          <w:color w:val="000000"/>
          <w:lang w:eastAsia="en-US"/>
        </w:rPr>
        <w:t xml:space="preserve">about 1 </w:t>
      </w:r>
      <w:r w:rsidR="005B7C68" w:rsidRPr="00C40B5B">
        <w:rPr>
          <w:color w:val="000000"/>
          <w:lang w:eastAsia="en-US"/>
        </w:rPr>
        <w:t>year</w:t>
      </w:r>
      <w:r w:rsidR="007401D9" w:rsidRPr="00C40B5B">
        <w:rPr>
          <w:color w:val="000000"/>
          <w:lang w:eastAsia="en-US"/>
        </w:rPr>
        <w:t xml:space="preserve"> </w:t>
      </w:r>
      <w:r w:rsidR="00CA10B8" w:rsidRPr="00C40B5B">
        <w:rPr>
          <w:color w:val="000000"/>
          <w:lang w:eastAsia="en-US"/>
        </w:rPr>
        <w:t xml:space="preserve">and a half </w:t>
      </w:r>
      <w:r w:rsidR="007401D9" w:rsidRPr="00C40B5B">
        <w:rPr>
          <w:color w:val="000000"/>
          <w:lang w:eastAsia="en-US"/>
        </w:rPr>
        <w:t xml:space="preserve">after </w:t>
      </w:r>
      <w:r w:rsidR="00C85CFF" w:rsidRPr="00C40B5B">
        <w:rPr>
          <w:color w:val="000000"/>
          <w:lang w:eastAsia="en-US"/>
        </w:rPr>
        <w:t>the first identification</w:t>
      </w:r>
      <w:r w:rsidR="00D63181" w:rsidRPr="00C40B5B">
        <w:rPr>
          <w:color w:val="000000"/>
          <w:lang w:eastAsia="en-US"/>
        </w:rPr>
        <w:t xml:space="preserve"> by ICMP</w:t>
      </w:r>
      <w:r w:rsidR="00C85CFF" w:rsidRPr="00C40B5B">
        <w:rPr>
          <w:color w:val="000000"/>
          <w:lang w:eastAsia="en-US"/>
        </w:rPr>
        <w:t xml:space="preserve">, based on the </w:t>
      </w:r>
      <w:r w:rsidR="00CA10B8" w:rsidRPr="00C40B5B">
        <w:rPr>
          <w:color w:val="000000"/>
          <w:lang w:eastAsia="en-US"/>
        </w:rPr>
        <w:t>DNA evidence</w:t>
      </w:r>
      <w:r w:rsidR="00C85CFF" w:rsidRPr="00C40B5B">
        <w:rPr>
          <w:color w:val="000000"/>
          <w:lang w:eastAsia="en-US"/>
        </w:rPr>
        <w:t xml:space="preserve">, had taken place </w:t>
      </w:r>
      <w:r w:rsidR="000E4F11" w:rsidRPr="00C40B5B">
        <w:rPr>
          <w:color w:val="000000"/>
          <w:lang w:eastAsia="en-US"/>
        </w:rPr>
        <w:t xml:space="preserve">(see </w:t>
      </w:r>
      <w:r w:rsidR="000E4F11" w:rsidRPr="00C40B5B">
        <w:rPr>
          <w:bCs/>
        </w:rPr>
        <w:t xml:space="preserve">§ </w:t>
      </w:r>
      <w:r w:rsidR="005B7C68" w:rsidRPr="00C40B5B">
        <w:rPr>
          <w:bCs/>
        </w:rPr>
        <w:t>31</w:t>
      </w:r>
      <w:r w:rsidR="000E4F11" w:rsidRPr="00C40B5B">
        <w:rPr>
          <w:bCs/>
        </w:rPr>
        <w:t xml:space="preserve"> above). The Panel also notes that, apart from the general statement that </w:t>
      </w:r>
      <w:r w:rsidR="00B142B2" w:rsidRPr="00C40B5B">
        <w:rPr>
          <w:bCs/>
        </w:rPr>
        <w:t xml:space="preserve">“the lapse of years” between the discovery and the identification of the </w:t>
      </w:r>
      <w:r w:rsidR="000E4F11" w:rsidRPr="00C40B5B">
        <w:rPr>
          <w:bCs/>
        </w:rPr>
        <w:t>mortal remains</w:t>
      </w:r>
      <w:r w:rsidR="00B142B2" w:rsidRPr="00C40B5B">
        <w:rPr>
          <w:bCs/>
        </w:rPr>
        <w:t xml:space="preserve"> must be assessed “against the broader context of criminal investigations in post-conflict Kosovo”</w:t>
      </w:r>
      <w:r w:rsidR="000E4F11" w:rsidRPr="00C40B5B">
        <w:rPr>
          <w:bCs/>
        </w:rPr>
        <w:t xml:space="preserve">, no </w:t>
      </w:r>
      <w:r w:rsidR="00C85CFF" w:rsidRPr="00C40B5B">
        <w:rPr>
          <w:bCs/>
        </w:rPr>
        <w:t xml:space="preserve">plausible </w:t>
      </w:r>
      <w:r w:rsidR="000E4F11" w:rsidRPr="00C40B5B">
        <w:rPr>
          <w:bCs/>
        </w:rPr>
        <w:t xml:space="preserve">explanation was provided by the SRSG to clarify the reasons of the delay in this particular case. </w:t>
      </w:r>
    </w:p>
    <w:p w:rsidR="000E4F11" w:rsidRPr="00C40B5B" w:rsidRDefault="000E4F11" w:rsidP="000E4F11">
      <w:pPr>
        <w:pStyle w:val="ListParagraph"/>
        <w:rPr>
          <w:color w:val="000000"/>
          <w:lang w:eastAsia="en-US"/>
        </w:rPr>
      </w:pPr>
    </w:p>
    <w:p w:rsidR="00560566" w:rsidRPr="00C40B5B" w:rsidRDefault="00C92D91" w:rsidP="00560566">
      <w:pPr>
        <w:pStyle w:val="ListParagraph"/>
        <w:numPr>
          <w:ilvl w:val="0"/>
          <w:numId w:val="12"/>
        </w:numPr>
        <w:autoSpaceDE w:val="0"/>
        <w:jc w:val="both"/>
        <w:rPr>
          <w:color w:val="000000"/>
          <w:lang w:eastAsia="en-US"/>
        </w:rPr>
      </w:pPr>
      <w:r w:rsidRPr="00C40B5B">
        <w:rPr>
          <w:color w:val="000000"/>
        </w:rPr>
        <w:lastRenderedPageBreak/>
        <w:t>A</w:t>
      </w:r>
      <w:r w:rsidR="000E4F11" w:rsidRPr="00C40B5B">
        <w:rPr>
          <w:color w:val="000000"/>
        </w:rPr>
        <w:t xml:space="preserve">lthough the </w:t>
      </w:r>
      <w:r w:rsidRPr="00C40B5B">
        <w:rPr>
          <w:color w:val="000000"/>
        </w:rPr>
        <w:t xml:space="preserve">identification of Mr </w:t>
      </w:r>
      <w:proofErr w:type="spellStart"/>
      <w:r w:rsidR="00820F3A" w:rsidRPr="00C40B5B">
        <w:rPr>
          <w:color w:val="000000"/>
        </w:rPr>
        <w:t>Svetozar</w:t>
      </w:r>
      <w:proofErr w:type="spellEnd"/>
      <w:r w:rsidR="00820F3A" w:rsidRPr="00C40B5B">
        <w:rPr>
          <w:color w:val="000000"/>
        </w:rPr>
        <w:t xml:space="preserve"> </w:t>
      </w:r>
      <w:proofErr w:type="spellStart"/>
      <w:r w:rsidR="00820F3A" w:rsidRPr="00C40B5B">
        <w:rPr>
          <w:color w:val="000000"/>
        </w:rPr>
        <w:t>Tomić</w:t>
      </w:r>
      <w:proofErr w:type="spellEnd"/>
      <w:r w:rsidR="00C85CFF" w:rsidRPr="00C40B5B">
        <w:rPr>
          <w:color w:val="000000"/>
        </w:rPr>
        <w:t xml:space="preserve"> and the handover of his mortal remains to the family</w:t>
      </w:r>
      <w:r w:rsidR="000E4F11" w:rsidRPr="00C40B5B">
        <w:t xml:space="preserve"> must be considered in itself an achievement, the Panel recalls that the procedural obligation under Article 2 did not come to an end </w:t>
      </w:r>
      <w:r w:rsidRPr="00C40B5B">
        <w:t>with the discovery and identification of his mortal remains</w:t>
      </w:r>
      <w:r w:rsidR="000E4F11" w:rsidRPr="00C40B5B">
        <w:t xml:space="preserve">, especially as they showed signs of a violent death. </w:t>
      </w:r>
      <w:r w:rsidRPr="00C40B5B">
        <w:rPr>
          <w:color w:val="000000"/>
        </w:rPr>
        <w:t>As those responsible for the abduction and killing had not been located, UNMIK was obligated to use the means at its disposal to regularly review the progress of the investigation to ensure that nothing had been overlooked and any new evidence had been considered, as</w:t>
      </w:r>
      <w:r w:rsidRPr="00C40B5B">
        <w:t xml:space="preserve"> well</w:t>
      </w:r>
      <w:r w:rsidRPr="00C40B5B">
        <w:rPr>
          <w:b/>
          <w:color w:val="0000CC"/>
        </w:rPr>
        <w:t xml:space="preserve"> </w:t>
      </w:r>
      <w:r w:rsidRPr="00C40B5B">
        <w:t>as to inform the relatives of</w:t>
      </w:r>
      <w:r w:rsidRPr="00C40B5B">
        <w:rPr>
          <w:b/>
          <w:color w:val="0000CC"/>
        </w:rPr>
        <w:t xml:space="preserve"> </w:t>
      </w:r>
      <w:r w:rsidRPr="00C40B5B">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Pr="00C40B5B">
        <w:t xml:space="preserve"> </w:t>
      </w:r>
      <w:r w:rsidRPr="00C40B5B">
        <w:rPr>
          <w:color w:val="000000"/>
        </w:rPr>
        <w:t>regarding the progress of the investigation.</w:t>
      </w:r>
    </w:p>
    <w:p w:rsidR="00560566" w:rsidRPr="00C40B5B" w:rsidRDefault="00560566" w:rsidP="00560566">
      <w:pPr>
        <w:pStyle w:val="ListParagraph"/>
      </w:pPr>
    </w:p>
    <w:p w:rsidR="00422B73" w:rsidRPr="00C40B5B" w:rsidRDefault="00422B73" w:rsidP="00560566">
      <w:pPr>
        <w:pStyle w:val="ListParagraph"/>
        <w:numPr>
          <w:ilvl w:val="0"/>
          <w:numId w:val="12"/>
        </w:numPr>
        <w:autoSpaceDE w:val="0"/>
        <w:jc w:val="both"/>
      </w:pPr>
      <w:r w:rsidRPr="00C40B5B">
        <w:t>The investigative file shows that a rev</w:t>
      </w:r>
      <w:r w:rsidR="00CA10B8" w:rsidRPr="00C40B5B">
        <w:t xml:space="preserve">iew of the case took place on 03 December 2006 </w:t>
      </w:r>
      <w:r w:rsidRPr="00C40B5B">
        <w:t xml:space="preserve">and that the only step taken by the UNMIK WCIU in this occasion was to record the information that the mortal remains of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Pr="00C40B5B">
        <w:t xml:space="preserve"> had been identified and handed over to his family.  </w:t>
      </w:r>
      <w:r w:rsidR="00560566" w:rsidRPr="00C40B5B">
        <w:t xml:space="preserve">The Panel notes that this was a moment of renewed contact with the family. Nonetheless, no further investigative action was carried out to identify the perpetrators before </w:t>
      </w:r>
      <w:r w:rsidRPr="00C40B5B">
        <w:t xml:space="preserve">the case was handed over to EULEX. </w:t>
      </w:r>
    </w:p>
    <w:p w:rsidR="00422B73" w:rsidRPr="00C40B5B" w:rsidRDefault="00422B73" w:rsidP="00422B73">
      <w:pPr>
        <w:pStyle w:val="ListParagraph"/>
      </w:pPr>
    </w:p>
    <w:p w:rsidR="00422B73" w:rsidRPr="00C40B5B" w:rsidRDefault="00422B73" w:rsidP="007235C8">
      <w:pPr>
        <w:numPr>
          <w:ilvl w:val="0"/>
          <w:numId w:val="12"/>
        </w:numPr>
        <w:tabs>
          <w:tab w:val="left" w:pos="709"/>
        </w:tabs>
        <w:suppressAutoHyphens/>
        <w:autoSpaceDE w:val="0"/>
        <w:ind w:left="450" w:hanging="450"/>
        <w:jc w:val="both"/>
      </w:pPr>
      <w:r w:rsidRPr="00C40B5B">
        <w:t xml:space="preserve">The apparent lack of any </w:t>
      </w:r>
      <w:r w:rsidRPr="00C40B5B">
        <w:rPr>
          <w:bCs/>
        </w:rPr>
        <w:t xml:space="preserve">immediate </w:t>
      </w:r>
      <w:r w:rsidRPr="00C40B5B">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422B73" w:rsidRPr="00C40B5B" w:rsidRDefault="00422B73" w:rsidP="00C85CFF">
      <w:pPr>
        <w:jc w:val="both"/>
      </w:pPr>
    </w:p>
    <w:p w:rsidR="007A7FBF" w:rsidRPr="00C40B5B" w:rsidRDefault="00153F23" w:rsidP="007235C8">
      <w:pPr>
        <w:numPr>
          <w:ilvl w:val="0"/>
          <w:numId w:val="12"/>
        </w:numPr>
        <w:tabs>
          <w:tab w:val="left" w:pos="709"/>
        </w:tabs>
        <w:suppressAutoHyphens/>
        <w:autoSpaceDE w:val="0"/>
        <w:ind w:left="450" w:hanging="450"/>
        <w:jc w:val="both"/>
        <w:rPr>
          <w:lang w:eastAsia="nl-NL"/>
        </w:rPr>
      </w:pPr>
      <w:r w:rsidRPr="00C40B5B">
        <w:rPr>
          <w:bCs/>
        </w:rPr>
        <w:t xml:space="preserve">The SRSG argues that due to the unavailability of information or evidence it was not possible for the UNMIK Police to undertake “further meaningful investigation and prioritization against </w:t>
      </w:r>
      <w:r w:rsidR="00830055" w:rsidRPr="00C40B5B">
        <w:rPr>
          <w:bCs/>
        </w:rPr>
        <w:t xml:space="preserve">other criminal investigations”. </w:t>
      </w:r>
      <w:r w:rsidR="007A7FBF" w:rsidRPr="00C40B5B">
        <w:rPr>
          <w:bCs/>
        </w:rPr>
        <w:t xml:space="preserve">In this respect, the Panel notes that </w:t>
      </w:r>
      <w:r w:rsidR="00A06EF8" w:rsidRPr="00C40B5B">
        <w:rPr>
          <w:bCs/>
        </w:rPr>
        <w:t xml:space="preserve">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00A06EF8" w:rsidRPr="00C40B5B">
        <w:rPr>
          <w:bCs/>
          <w:i/>
        </w:rPr>
        <w:t>P.S</w:t>
      </w:r>
      <w:r w:rsidR="00A06EF8" w:rsidRPr="00C40B5B">
        <w:rPr>
          <w:bCs/>
        </w:rPr>
        <w:t>., no. 48/09, opinion of 31 October 2013, § 107).</w:t>
      </w:r>
      <w:r w:rsidRPr="00C40B5B">
        <w:rPr>
          <w:bCs/>
        </w:rPr>
        <w:t xml:space="preserve"> Concerning the SRSG’s statement that</w:t>
      </w:r>
      <w:r w:rsidR="00E41F93" w:rsidRPr="00C40B5B">
        <w:rPr>
          <w:bCs/>
        </w:rPr>
        <w:t xml:space="preserve"> </w:t>
      </w:r>
      <w:r w:rsidR="00E41F93" w:rsidRPr="00C40B5B">
        <w:t>UNMIK opened and pursued an investigation on the basis of “very scant” information provided, “not by the Complainant herself…but probably from the ICRC or the Belgrade authorities”</w:t>
      </w:r>
      <w:r w:rsidRPr="00C40B5B">
        <w:rPr>
          <w:bCs/>
        </w:rPr>
        <w:t xml:space="preserve">, the Panel notes that, had the UNMIK Police located and interviewed the </w:t>
      </w:r>
      <w:r w:rsidR="00E41F93" w:rsidRPr="00C40B5B">
        <w:rPr>
          <w:bCs/>
        </w:rPr>
        <w:t>named witness and alleged perpetrators that were provided to them, an entirely different outcome may have occurred</w:t>
      </w:r>
      <w:r w:rsidRPr="00C40B5B">
        <w:rPr>
          <w:bCs/>
        </w:rPr>
        <w:t xml:space="preserve">.  </w:t>
      </w:r>
    </w:p>
    <w:p w:rsidR="00153F23" w:rsidRPr="00C40B5B" w:rsidRDefault="00153F23" w:rsidP="00153F23">
      <w:pPr>
        <w:jc w:val="both"/>
      </w:pPr>
    </w:p>
    <w:p w:rsidR="00046EBD" w:rsidRPr="00C40B5B" w:rsidRDefault="00A533F3" w:rsidP="007235C8">
      <w:pPr>
        <w:numPr>
          <w:ilvl w:val="0"/>
          <w:numId w:val="12"/>
        </w:numPr>
        <w:tabs>
          <w:tab w:val="left" w:pos="709"/>
        </w:tabs>
        <w:suppressAutoHyphens/>
        <w:autoSpaceDE w:val="0"/>
        <w:ind w:left="450" w:hanging="450"/>
        <w:jc w:val="both"/>
      </w:pPr>
      <w:r w:rsidRPr="00C40B5B">
        <w:t>The Panel</w:t>
      </w:r>
      <w:r w:rsidR="007A7FBF" w:rsidRPr="00C40B5B">
        <w:t xml:space="preserve"> further</w:t>
      </w:r>
      <w:r w:rsidRPr="00C40B5B">
        <w:t xml:space="preserve"> recalls in this regard its position in relation to the categorisation of cases into “active” and “inactive”, that any </w:t>
      </w:r>
      <w:r w:rsidRPr="00C40B5B">
        <w:rPr>
          <w:bCs/>
        </w:rPr>
        <w:t xml:space="preserve">“categorisation of an investigation should take place only after the minimum </w:t>
      </w:r>
      <w:r w:rsidRPr="00C40B5B">
        <w:t>possible</w:t>
      </w:r>
      <w:r w:rsidRPr="00C40B5B">
        <w:rPr>
          <w:bCs/>
        </w:rPr>
        <w:t xml:space="preserve"> investigative actions have been undertaken and obtainable information has been collected and analysed” </w:t>
      </w:r>
      <w:r w:rsidRPr="00C40B5B">
        <w:t xml:space="preserve">(see e.g. HRAP, </w:t>
      </w:r>
      <w:r w:rsidRPr="00C40B5B">
        <w:rPr>
          <w:i/>
        </w:rPr>
        <w:t>B.A</w:t>
      </w:r>
      <w:r w:rsidRPr="00C40B5B">
        <w:t>., no. 52/09, opinion of 14 February 2013, § 82).</w:t>
      </w:r>
      <w:r w:rsidRPr="00C40B5B">
        <w:rPr>
          <w:bCs/>
        </w:rPr>
        <w:t xml:space="preserve"> In this case, such prioritisation should not have been made at the </w:t>
      </w:r>
      <w:r w:rsidRPr="00C40B5B">
        <w:rPr>
          <w:bCs/>
        </w:rPr>
        <w:lastRenderedPageBreak/>
        <w:t>earliest stages</w:t>
      </w:r>
      <w:r w:rsidR="007A7FBF" w:rsidRPr="00C40B5B">
        <w:rPr>
          <w:bCs/>
        </w:rPr>
        <w:t>, before the potential</w:t>
      </w:r>
      <w:r w:rsidRPr="00C40B5B">
        <w:rPr>
          <w:bCs/>
        </w:rPr>
        <w:t xml:space="preserve"> witnesses </w:t>
      </w:r>
      <w:r w:rsidR="00E41F93" w:rsidRPr="00C40B5B">
        <w:rPr>
          <w:bCs/>
        </w:rPr>
        <w:t xml:space="preserve">and alleged perpetrators </w:t>
      </w:r>
      <w:r w:rsidRPr="00C40B5B">
        <w:rPr>
          <w:bCs/>
        </w:rPr>
        <w:t>had been</w:t>
      </w:r>
      <w:r w:rsidR="007A7FBF" w:rsidRPr="00C40B5B">
        <w:rPr>
          <w:bCs/>
        </w:rPr>
        <w:t xml:space="preserve"> located and</w:t>
      </w:r>
      <w:r w:rsidRPr="00C40B5B">
        <w:rPr>
          <w:bCs/>
        </w:rPr>
        <w:t xml:space="preserve"> interviewed about the circumstances of </w:t>
      </w:r>
      <w:r w:rsidR="007A7FBF" w:rsidRPr="00C40B5B">
        <w:rPr>
          <w:bCs/>
        </w:rPr>
        <w:t>the abduction</w:t>
      </w:r>
      <w:r w:rsidRPr="00C40B5B">
        <w:rPr>
          <w:bCs/>
        </w:rPr>
        <w:t>, and all obtainable evidence had been collected.</w:t>
      </w:r>
    </w:p>
    <w:p w:rsidR="00422B73" w:rsidRPr="00C40B5B" w:rsidRDefault="00422B73" w:rsidP="001A0793"/>
    <w:p w:rsidR="00422B73" w:rsidRPr="00C40B5B" w:rsidRDefault="00A533F3" w:rsidP="007235C8">
      <w:pPr>
        <w:numPr>
          <w:ilvl w:val="0"/>
          <w:numId w:val="12"/>
        </w:numPr>
        <w:tabs>
          <w:tab w:val="left" w:pos="709"/>
        </w:tabs>
        <w:suppressAutoHyphens/>
        <w:autoSpaceDE w:val="0"/>
        <w:ind w:left="450" w:hanging="450"/>
        <w:jc w:val="both"/>
      </w:pPr>
      <w:r w:rsidRPr="00C40B5B">
        <w:t xml:space="preserve">The Panel is also aware that the duty to investigate is not breached merely because the investigation does not produce a satisfactory result. Nevertheless, such an investigation must be </w:t>
      </w:r>
      <w:r w:rsidRPr="007235C8">
        <w:rPr>
          <w:bCs/>
        </w:rPr>
        <w:t>undertaken</w:t>
      </w:r>
      <w:r w:rsidRPr="00C40B5B">
        <w:t xml:space="preserve"> in a serious manner and not be a mere formality. The Panel considers that, having regard to all the circumstances of the particular case, not all reasonable steps were taken by UNMIK towards ide</w:t>
      </w:r>
      <w:r w:rsidR="009C0C57" w:rsidRPr="00C40B5B">
        <w:t>ntifying the perpetrators and</w:t>
      </w:r>
      <w:r w:rsidRPr="00C40B5B">
        <w:t xml:space="preserve"> bring</w:t>
      </w:r>
      <w:r w:rsidR="009C0C57" w:rsidRPr="00C40B5B">
        <w:t>ing</w:t>
      </w:r>
      <w:r w:rsidRPr="00C40B5B">
        <w:t xml:space="preserve"> them to justice. In this sense the Panel considers that the investigation was not adequate and did not comply with the requirements of promptness, expedition and effectiveness (see § </w:t>
      </w:r>
      <w:r w:rsidR="001D1BE4" w:rsidRPr="00C40B5B">
        <w:t>74</w:t>
      </w:r>
      <w:r w:rsidRPr="00C40B5B">
        <w:t xml:space="preserve"> above), as required by Article 2</w:t>
      </w:r>
      <w:r w:rsidR="00503BB3" w:rsidRPr="00C40B5B">
        <w:t xml:space="preserve"> of the ECHR</w:t>
      </w:r>
      <w:r w:rsidRPr="00C40B5B">
        <w:t>.</w:t>
      </w:r>
    </w:p>
    <w:p w:rsidR="00422B73" w:rsidRPr="00C40B5B" w:rsidRDefault="00422B73" w:rsidP="00422B73">
      <w:pPr>
        <w:pStyle w:val="ListParagraph"/>
      </w:pPr>
    </w:p>
    <w:p w:rsidR="00422B73" w:rsidRPr="00C40B5B" w:rsidRDefault="00A533F3" w:rsidP="007235C8">
      <w:pPr>
        <w:numPr>
          <w:ilvl w:val="0"/>
          <w:numId w:val="12"/>
        </w:numPr>
        <w:tabs>
          <w:tab w:val="left" w:pos="709"/>
        </w:tabs>
        <w:suppressAutoHyphens/>
        <w:autoSpaceDE w:val="0"/>
        <w:ind w:left="450" w:hanging="450"/>
        <w:jc w:val="both"/>
      </w:pPr>
      <w:r w:rsidRPr="00C40B5B">
        <w:t xml:space="preserve">As </w:t>
      </w:r>
      <w:r w:rsidRPr="007235C8">
        <w:rPr>
          <w:bCs/>
        </w:rPr>
        <w:t>concerns</w:t>
      </w:r>
      <w:r w:rsidRPr="00C40B5B">
        <w:rPr>
          <w:lang w:eastAsia="en-GB"/>
        </w:rPr>
        <w:t xml:space="preserve"> </w:t>
      </w:r>
      <w:r w:rsidRPr="00C40B5B">
        <w:t>the</w:t>
      </w:r>
      <w:r w:rsidRPr="00C40B5B">
        <w:rPr>
          <w:lang w:eastAsia="en-GB"/>
        </w:rPr>
        <w:t xml:space="preserve"> requirement of </w:t>
      </w:r>
      <w:r w:rsidRPr="00C40B5B">
        <w:t>public</w:t>
      </w:r>
      <w:r w:rsidRPr="00C40B5B">
        <w:rPr>
          <w:lang w:eastAsia="en-GB"/>
        </w:rPr>
        <w:t xml:space="preserve"> scrutiny, the Panel recalls that Article 2 also requires </w:t>
      </w:r>
      <w:r w:rsidRPr="00C40B5B">
        <w:t>the</w:t>
      </w:r>
      <w:r w:rsidRPr="00C40B5B">
        <w:rPr>
          <w:lang w:eastAsia="en-GB"/>
        </w:rPr>
        <w:t xml:space="preserve"> victim</w:t>
      </w:r>
      <w:r w:rsidR="00503BB3" w:rsidRPr="00C40B5B">
        <w:rPr>
          <w:lang w:eastAsia="en-GB"/>
        </w:rPr>
        <w:t>s’</w:t>
      </w:r>
      <w:r w:rsidRPr="00C40B5B">
        <w:rPr>
          <w:lang w:eastAsia="en-GB"/>
        </w:rPr>
        <w:t xml:space="preserve"> next-of-kin to be involved in the investigation to the extent necessary to safeguard his or her legitimate interests.</w:t>
      </w:r>
    </w:p>
    <w:p w:rsidR="00422B73" w:rsidRPr="00C40B5B" w:rsidRDefault="00422B73" w:rsidP="003C04A5">
      <w:pPr>
        <w:pStyle w:val="ListParagraph"/>
        <w:jc w:val="both"/>
      </w:pPr>
    </w:p>
    <w:p w:rsidR="00422B73" w:rsidRPr="00C40B5B" w:rsidRDefault="003C04A5" w:rsidP="007235C8">
      <w:pPr>
        <w:numPr>
          <w:ilvl w:val="0"/>
          <w:numId w:val="12"/>
        </w:numPr>
        <w:tabs>
          <w:tab w:val="left" w:pos="709"/>
        </w:tabs>
        <w:suppressAutoHyphens/>
        <w:autoSpaceDE w:val="0"/>
        <w:ind w:left="450" w:hanging="450"/>
        <w:jc w:val="both"/>
      </w:pPr>
      <w:r w:rsidRPr="00C40B5B">
        <w:t>The complainant states that she received no feedback from UNMIK on the investigation concerning her husband. The Panel notes that</w:t>
      </w:r>
      <w:r w:rsidR="00830055" w:rsidRPr="00C40B5B">
        <w:t xml:space="preserve"> the only documented contact</w:t>
      </w:r>
      <w:r w:rsidR="007333BC" w:rsidRPr="00C40B5B">
        <w:t>s</w:t>
      </w:r>
      <w:r w:rsidR="00830055" w:rsidRPr="00C40B5B">
        <w:t xml:space="preserve"> between the complainant </w:t>
      </w:r>
      <w:r w:rsidR="00830055" w:rsidRPr="007235C8">
        <w:rPr>
          <w:bCs/>
        </w:rPr>
        <w:t>and</w:t>
      </w:r>
      <w:r w:rsidR="00830055" w:rsidRPr="00C40B5B">
        <w:t xml:space="preserve"> UNMIK </w:t>
      </w:r>
      <w:r w:rsidR="007333BC" w:rsidRPr="00C40B5B">
        <w:t xml:space="preserve">were a </w:t>
      </w:r>
      <w:r w:rsidR="007000C3" w:rsidRPr="00C40B5B">
        <w:t xml:space="preserve">telephone call asking her for more information and </w:t>
      </w:r>
      <w:r w:rsidR="00830055" w:rsidRPr="00C40B5B">
        <w:t xml:space="preserve">the handover of Mr </w:t>
      </w:r>
      <w:proofErr w:type="spellStart"/>
      <w:r w:rsidR="00820F3A" w:rsidRPr="00C40B5B">
        <w:t>Svetozar</w:t>
      </w:r>
      <w:proofErr w:type="spellEnd"/>
      <w:r w:rsidR="00820F3A" w:rsidRPr="00C40B5B">
        <w:t xml:space="preserve"> </w:t>
      </w:r>
      <w:proofErr w:type="spellStart"/>
      <w:r w:rsidR="00820F3A" w:rsidRPr="00C40B5B">
        <w:t>Tomić</w:t>
      </w:r>
      <w:r w:rsidR="00830055" w:rsidRPr="00C40B5B">
        <w:t>’s</w:t>
      </w:r>
      <w:proofErr w:type="spellEnd"/>
      <w:r w:rsidR="00830055" w:rsidRPr="00C40B5B">
        <w:t xml:space="preserve"> mortal remains from the OMPF to his family</w:t>
      </w:r>
      <w:r w:rsidR="00E41F93" w:rsidRPr="00C40B5B">
        <w:t xml:space="preserve"> in 2006</w:t>
      </w:r>
      <w:r w:rsidRPr="00C40B5B">
        <w:t>. As the Panel has already noted</w:t>
      </w:r>
      <w:r w:rsidR="00830055" w:rsidRPr="00C40B5B">
        <w:t xml:space="preserve"> no information was given to them</w:t>
      </w:r>
      <w:r w:rsidRPr="00C40B5B">
        <w:t xml:space="preserve"> concerning the </w:t>
      </w:r>
      <w:r w:rsidR="00830055" w:rsidRPr="00C40B5B">
        <w:t>progress</w:t>
      </w:r>
      <w:r w:rsidRPr="00C40B5B">
        <w:t xml:space="preserve"> of the investigation, including</w:t>
      </w:r>
      <w:r w:rsidR="00830055" w:rsidRPr="00C40B5B">
        <w:t xml:space="preserve"> the fact that an identification of Mr </w:t>
      </w:r>
      <w:proofErr w:type="spellStart"/>
      <w:r w:rsidR="00820F3A" w:rsidRPr="00C40B5B">
        <w:t>Svetozar</w:t>
      </w:r>
      <w:proofErr w:type="spellEnd"/>
      <w:r w:rsidR="00820F3A" w:rsidRPr="00C40B5B">
        <w:t xml:space="preserve"> </w:t>
      </w:r>
      <w:proofErr w:type="spellStart"/>
      <w:r w:rsidR="00820F3A" w:rsidRPr="00C40B5B">
        <w:t>Tomić</w:t>
      </w:r>
      <w:r w:rsidR="00830055" w:rsidRPr="00C40B5B">
        <w:t>’s</w:t>
      </w:r>
      <w:proofErr w:type="spellEnd"/>
      <w:r w:rsidR="00830055" w:rsidRPr="00C40B5B">
        <w:t xml:space="preserve"> </w:t>
      </w:r>
      <w:r w:rsidR="00E41F93" w:rsidRPr="00C40B5B">
        <w:t>mortal remains had occurred in March 2004</w:t>
      </w:r>
      <w:r w:rsidR="00830055" w:rsidRPr="00C40B5B">
        <w:t xml:space="preserve"> (see §</w:t>
      </w:r>
      <w:r w:rsidR="005B7C68" w:rsidRPr="00C40B5B">
        <w:t xml:space="preserve"> 31</w:t>
      </w:r>
      <w:r w:rsidR="00830055" w:rsidRPr="00C40B5B">
        <w:t xml:space="preserve"> above)</w:t>
      </w:r>
      <w:r w:rsidRPr="00C40B5B">
        <w:t>. The Panel therefore considers that the investigation was not accessible to the complainant’s family as required by Article 2.</w:t>
      </w:r>
    </w:p>
    <w:p w:rsidR="001A7B85" w:rsidRPr="00C40B5B" w:rsidRDefault="001A7B85" w:rsidP="001A7B85">
      <w:pPr>
        <w:jc w:val="both"/>
      </w:pPr>
    </w:p>
    <w:p w:rsidR="00A71A89" w:rsidRPr="00C40B5B" w:rsidRDefault="00A533F3" w:rsidP="007235C8">
      <w:pPr>
        <w:numPr>
          <w:ilvl w:val="0"/>
          <w:numId w:val="12"/>
        </w:numPr>
        <w:tabs>
          <w:tab w:val="left" w:pos="709"/>
        </w:tabs>
        <w:suppressAutoHyphens/>
        <w:autoSpaceDE w:val="0"/>
        <w:ind w:left="450" w:hanging="450"/>
        <w:jc w:val="both"/>
      </w:pPr>
      <w:r w:rsidRPr="00C40B5B">
        <w:t xml:space="preserve">In light of the </w:t>
      </w:r>
      <w:r w:rsidRPr="00C40B5B">
        <w:rPr>
          <w:bCs/>
        </w:rPr>
        <w:t>deficiencies</w:t>
      </w:r>
      <w:r w:rsidRPr="00C40B5B">
        <w:t xml:space="preserve"> and shortcomings described above, the Panel concludes that UNMIK failed to carry out an </w:t>
      </w:r>
      <w:r w:rsidRPr="00C40B5B">
        <w:rPr>
          <w:lang w:eastAsia="en-GB"/>
        </w:rPr>
        <w:t>effective</w:t>
      </w:r>
      <w:r w:rsidRPr="00C40B5B">
        <w:t xml:space="preserve"> investigation into the</w:t>
      </w:r>
      <w:r w:rsidR="00A71A89" w:rsidRPr="00C40B5B">
        <w:t xml:space="preserve"> abduction and</w:t>
      </w:r>
      <w:r w:rsidRPr="00C40B5B">
        <w:rPr>
          <w:bCs/>
        </w:rPr>
        <w:t xml:space="preserve"> </w:t>
      </w:r>
      <w:r w:rsidR="003F6AD6" w:rsidRPr="00C40B5B">
        <w:rPr>
          <w:bCs/>
        </w:rPr>
        <w:t>killing</w:t>
      </w:r>
      <w:r w:rsidRPr="00C40B5B">
        <w:rPr>
          <w:bCs/>
        </w:rPr>
        <w:t xml:space="preserve"> of </w:t>
      </w:r>
      <w:r w:rsidR="00A71A89" w:rsidRPr="00C40B5B">
        <w:rPr>
          <w:bCs/>
        </w:rPr>
        <w:t>Mr</w:t>
      </w:r>
      <w:r w:rsidR="00A71A89" w:rsidRPr="00C40B5B">
        <w:rPr>
          <w:color w:val="000000"/>
        </w:rPr>
        <w:t xml:space="preserve"> </w:t>
      </w:r>
      <w:proofErr w:type="spellStart"/>
      <w:r w:rsidR="00820F3A" w:rsidRPr="00C40B5B">
        <w:t>Svetozar</w:t>
      </w:r>
      <w:proofErr w:type="spellEnd"/>
      <w:r w:rsidR="00820F3A" w:rsidRPr="00C40B5B">
        <w:t xml:space="preserve"> </w:t>
      </w:r>
      <w:proofErr w:type="spellStart"/>
      <w:r w:rsidR="00820F3A" w:rsidRPr="00C40B5B">
        <w:t>Tomić</w:t>
      </w:r>
      <w:proofErr w:type="spellEnd"/>
      <w:r w:rsidRPr="00C40B5B">
        <w:t xml:space="preserve">. There </w:t>
      </w:r>
      <w:r w:rsidRPr="00C40B5B">
        <w:rPr>
          <w:lang w:eastAsia="en-GB"/>
        </w:rPr>
        <w:t>has</w:t>
      </w:r>
      <w:r w:rsidRPr="00C40B5B">
        <w:t xml:space="preserve"> accordingly been a violation of Article 2, procedural limb, of the ECHR. </w:t>
      </w:r>
    </w:p>
    <w:p w:rsidR="00A71A89" w:rsidRPr="00C40B5B" w:rsidRDefault="00A71A89" w:rsidP="00A71A89">
      <w:pPr>
        <w:pStyle w:val="ListParagraph"/>
      </w:pPr>
    </w:p>
    <w:p w:rsidR="00A71A89" w:rsidRPr="00C40B5B" w:rsidRDefault="00A71A89" w:rsidP="00A71A89">
      <w:pPr>
        <w:pStyle w:val="ListParagraph"/>
        <w:ind w:left="0"/>
        <w:rPr>
          <w:b/>
        </w:rPr>
      </w:pPr>
      <w:r w:rsidRPr="00C40B5B">
        <w:rPr>
          <w:b/>
        </w:rPr>
        <w:t>V. CONCLUDING COMMENTS AND RECOMMENDATIONS</w:t>
      </w:r>
    </w:p>
    <w:p w:rsidR="00A71A89" w:rsidRPr="00C40B5B" w:rsidRDefault="00A71A89" w:rsidP="00A71A89">
      <w:pPr>
        <w:pStyle w:val="ListParagraph"/>
      </w:pPr>
    </w:p>
    <w:p w:rsidR="00A71A89" w:rsidRPr="00C40B5B" w:rsidRDefault="00F52A7B" w:rsidP="007235C8">
      <w:pPr>
        <w:numPr>
          <w:ilvl w:val="0"/>
          <w:numId w:val="12"/>
        </w:numPr>
        <w:tabs>
          <w:tab w:val="left" w:pos="709"/>
        </w:tabs>
        <w:suppressAutoHyphens/>
        <w:autoSpaceDE w:val="0"/>
        <w:ind w:left="450" w:hanging="450"/>
        <w:jc w:val="both"/>
      </w:pPr>
      <w:r w:rsidRPr="00C40B5B">
        <w:t>In light of the Panel’s findings in this case, the Panel is of the opinion that some form of reparation is necessary.</w:t>
      </w:r>
    </w:p>
    <w:p w:rsidR="00A71A89" w:rsidRPr="00C40B5B" w:rsidRDefault="00A71A89" w:rsidP="00A71A89">
      <w:pPr>
        <w:pStyle w:val="ListParagraph"/>
        <w:ind w:left="360"/>
        <w:jc w:val="both"/>
      </w:pPr>
    </w:p>
    <w:p w:rsidR="00A71A89" w:rsidRPr="00C40B5B" w:rsidRDefault="00C44BD1" w:rsidP="007235C8">
      <w:pPr>
        <w:numPr>
          <w:ilvl w:val="0"/>
          <w:numId w:val="12"/>
        </w:numPr>
        <w:tabs>
          <w:tab w:val="left" w:pos="709"/>
        </w:tabs>
        <w:suppressAutoHyphens/>
        <w:autoSpaceDE w:val="0"/>
        <w:ind w:left="450" w:hanging="450"/>
        <w:jc w:val="both"/>
      </w:pPr>
      <w:r w:rsidRPr="00C40B5B">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C40B5B">
        <w:t>s</w:t>
      </w:r>
      <w:r w:rsidRPr="00C40B5B">
        <w:t xml:space="preserve"> and </w:t>
      </w:r>
      <w:r w:rsidR="00560510" w:rsidRPr="00C40B5B">
        <w:t>their</w:t>
      </w:r>
      <w:r w:rsidR="00250C69" w:rsidRPr="00C40B5B">
        <w:t xml:space="preserve"> </w:t>
      </w:r>
      <w:r w:rsidRPr="00C40B5B">
        <w:t>next-of-kin, in particular the right to have the truth of the matter determined.</w:t>
      </w:r>
    </w:p>
    <w:p w:rsidR="00A71A89" w:rsidRPr="00C40B5B" w:rsidRDefault="00A71A89" w:rsidP="00A71A89">
      <w:pPr>
        <w:pStyle w:val="ListParagraph"/>
        <w:rPr>
          <w:bCs/>
        </w:rPr>
      </w:pPr>
    </w:p>
    <w:p w:rsidR="00A71A89" w:rsidRPr="00C40B5B" w:rsidRDefault="00F52A7B" w:rsidP="007235C8">
      <w:pPr>
        <w:numPr>
          <w:ilvl w:val="0"/>
          <w:numId w:val="12"/>
        </w:numPr>
        <w:tabs>
          <w:tab w:val="left" w:pos="709"/>
        </w:tabs>
        <w:suppressAutoHyphens/>
        <w:autoSpaceDE w:val="0"/>
        <w:ind w:left="450" w:hanging="450"/>
        <w:jc w:val="both"/>
      </w:pPr>
      <w:r w:rsidRPr="00C40B5B">
        <w:rPr>
          <w:bCs/>
        </w:rPr>
        <w:lastRenderedPageBreak/>
        <w:t xml:space="preserve">The </w:t>
      </w:r>
      <w:r w:rsidRPr="00C40B5B">
        <w:t>Panel</w:t>
      </w:r>
      <w:r w:rsidRPr="00C40B5B">
        <w:rPr>
          <w:bCs/>
        </w:rPr>
        <w:t xml:space="preserve"> </w:t>
      </w:r>
      <w:r w:rsidRPr="007235C8">
        <w:t>notes</w:t>
      </w:r>
      <w:r w:rsidRPr="00C40B5B">
        <w:rPr>
          <w:bCs/>
        </w:rPr>
        <w:t xml:space="preserve"> the SRSG’s own concerns that the inadequate resources, especially at the outset of </w:t>
      </w:r>
      <w:r w:rsidRPr="00C40B5B">
        <w:t>UNMIK’s</w:t>
      </w:r>
      <w:r w:rsidRPr="00C40B5B">
        <w:rPr>
          <w:bCs/>
        </w:rPr>
        <w:t xml:space="preserve"> </w:t>
      </w:r>
      <w:r w:rsidRPr="00C40B5B">
        <w:t>mission</w:t>
      </w:r>
      <w:r w:rsidRPr="00C40B5B">
        <w:rPr>
          <w:bCs/>
        </w:rPr>
        <w:t>, made compliance with UNMIK’s human rights obligations difficult to achieve.</w:t>
      </w:r>
    </w:p>
    <w:p w:rsidR="00A71A89" w:rsidRPr="00C40B5B" w:rsidRDefault="00A71A89" w:rsidP="00A71A89">
      <w:pPr>
        <w:pStyle w:val="ListParagraph"/>
      </w:pPr>
    </w:p>
    <w:p w:rsidR="00A71A89" w:rsidRPr="00C40B5B" w:rsidRDefault="00F52A7B" w:rsidP="007235C8">
      <w:pPr>
        <w:numPr>
          <w:ilvl w:val="0"/>
          <w:numId w:val="12"/>
        </w:numPr>
        <w:tabs>
          <w:tab w:val="left" w:pos="709"/>
        </w:tabs>
        <w:suppressAutoHyphens/>
        <w:autoSpaceDE w:val="0"/>
        <w:ind w:left="450" w:hanging="450"/>
        <w:jc w:val="both"/>
      </w:pPr>
      <w:r w:rsidRPr="00C40B5B">
        <w:t xml:space="preserve">It would normally be for UNMIK to take the appropriate measures in order to put an end to the violation noted and to redress as far as possible the effects thereof. However, as the Panel noted above (see § </w:t>
      </w:r>
      <w:r w:rsidR="005B7C68" w:rsidRPr="00C40B5B">
        <w:t>20</w:t>
      </w:r>
      <w:r w:rsidRPr="00C40B5B">
        <w:t xml:space="preserve">), UNMIK’s responsibility with regard to the administration of justice in Kosovo ended on 9 </w:t>
      </w:r>
      <w:r w:rsidR="00C3019E" w:rsidRPr="00C40B5B">
        <w:t xml:space="preserve">December 2008. </w:t>
      </w:r>
      <w:r w:rsidRPr="00C40B5B">
        <w:t xml:space="preserve">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A71A89" w:rsidRPr="00C40B5B" w:rsidRDefault="00A71A89" w:rsidP="00A71A89">
      <w:pPr>
        <w:pStyle w:val="ListParagraph"/>
      </w:pPr>
    </w:p>
    <w:p w:rsidR="00F52A7B" w:rsidRPr="00C40B5B" w:rsidRDefault="00F52A7B" w:rsidP="007235C8">
      <w:pPr>
        <w:numPr>
          <w:ilvl w:val="0"/>
          <w:numId w:val="12"/>
        </w:numPr>
        <w:tabs>
          <w:tab w:val="left" w:pos="709"/>
        </w:tabs>
        <w:suppressAutoHyphens/>
        <w:autoSpaceDE w:val="0"/>
        <w:ind w:left="450" w:hanging="450"/>
        <w:jc w:val="both"/>
      </w:pPr>
      <w:r w:rsidRPr="00C40B5B">
        <w:t xml:space="preserve">The Panel considers that this factual situation does not relieve UNMIK from its obligation to redress as far as possible the effects of the violations for which it is responsible. </w:t>
      </w:r>
    </w:p>
    <w:p w:rsidR="00F52A7B" w:rsidRPr="00C40B5B" w:rsidRDefault="00F52A7B" w:rsidP="00F0719F">
      <w:pPr>
        <w:rPr>
          <w:b/>
          <w:bCs/>
        </w:rPr>
      </w:pPr>
    </w:p>
    <w:p w:rsidR="00F52A7B" w:rsidRPr="00C40B5B" w:rsidRDefault="00537784" w:rsidP="00560510">
      <w:pPr>
        <w:suppressAutoHyphens/>
        <w:autoSpaceDE w:val="0"/>
        <w:ind w:left="450"/>
        <w:jc w:val="both"/>
        <w:rPr>
          <w:b/>
          <w:bCs/>
        </w:rPr>
      </w:pPr>
      <w:r w:rsidRPr="00C40B5B">
        <w:rPr>
          <w:b/>
          <w:bCs/>
        </w:rPr>
        <w:t>With respect to the complainant</w:t>
      </w:r>
      <w:r w:rsidR="00F52A7B" w:rsidRPr="00C40B5B">
        <w:rPr>
          <w:b/>
          <w:bCs/>
        </w:rPr>
        <w:t xml:space="preserve"> and the case the Panel considers appropriate that UNMIK:</w:t>
      </w:r>
    </w:p>
    <w:p w:rsidR="00F52A7B" w:rsidRPr="00C40B5B" w:rsidRDefault="00F52A7B" w:rsidP="00F52A7B">
      <w:pPr>
        <w:pStyle w:val="ListParagraph"/>
        <w:rPr>
          <w:b/>
          <w:bCs/>
        </w:rPr>
      </w:pPr>
    </w:p>
    <w:p w:rsidR="00F52A7B" w:rsidRPr="00C40B5B" w:rsidRDefault="00F52A7B" w:rsidP="009C4FE8">
      <w:pPr>
        <w:numPr>
          <w:ilvl w:val="0"/>
          <w:numId w:val="8"/>
        </w:numPr>
        <w:tabs>
          <w:tab w:val="left" w:pos="900"/>
        </w:tabs>
        <w:suppressAutoHyphens/>
        <w:autoSpaceDE w:val="0"/>
        <w:ind w:left="720" w:firstLine="0"/>
        <w:jc w:val="both"/>
        <w:rPr>
          <w:b/>
          <w:bCs/>
        </w:rPr>
      </w:pPr>
      <w:r w:rsidRPr="00C40B5B">
        <w:t>In line with the case law of the European Court of Human Rights on situations of limited State jurisd</w:t>
      </w:r>
      <w:r w:rsidR="00A47B30" w:rsidRPr="00C40B5B">
        <w:t xml:space="preserve">iction (see ECtHR </w:t>
      </w:r>
      <w:r w:rsidR="00E10646" w:rsidRPr="00C40B5B">
        <w:t>[</w:t>
      </w:r>
      <w:r w:rsidR="00A47B30" w:rsidRPr="00C40B5B">
        <w:t>GC</w:t>
      </w:r>
      <w:r w:rsidR="00E10646" w:rsidRPr="00C40B5B">
        <w:t>]</w:t>
      </w:r>
      <w:r w:rsidRPr="00C40B5B">
        <w:t xml:space="preserve">, </w:t>
      </w:r>
      <w:r w:rsidRPr="00C40B5B">
        <w:rPr>
          <w:i/>
        </w:rPr>
        <w:t>Ilaşcu and Others v. Moldova and Russia</w:t>
      </w:r>
      <w:r w:rsidRPr="00C40B5B">
        <w:t xml:space="preserve">, no. 48787/99, judgment of 8 July 2004, </w:t>
      </w:r>
      <w:r w:rsidRPr="00C40B5B">
        <w:rPr>
          <w:i/>
        </w:rPr>
        <w:t>ECHR</w:t>
      </w:r>
      <w:r w:rsidRPr="00C40B5B">
        <w:t xml:space="preserve">, 2004-VII, § 333; ECtHR, </w:t>
      </w:r>
      <w:r w:rsidRPr="00C40B5B">
        <w:rPr>
          <w:i/>
        </w:rPr>
        <w:t>Al-Saadoon and Mufdhi v. United Kingdom</w:t>
      </w:r>
      <w:r w:rsidRPr="00C40B5B">
        <w:t>, no. 61498/08, judgment of 2 March 2</w:t>
      </w:r>
      <w:r w:rsidR="00A47B30" w:rsidRPr="00C40B5B">
        <w:t xml:space="preserve">010, § 171; ECtHR </w:t>
      </w:r>
      <w:r w:rsidR="00E10646" w:rsidRPr="00C40B5B">
        <w:t>[</w:t>
      </w:r>
      <w:r w:rsidR="00A47B30" w:rsidRPr="00C40B5B">
        <w:t>GC</w:t>
      </w:r>
      <w:r w:rsidR="00E10646" w:rsidRPr="00C40B5B">
        <w:t>]</w:t>
      </w:r>
      <w:r w:rsidRPr="00C40B5B">
        <w:t xml:space="preserve">, </w:t>
      </w:r>
      <w:r w:rsidRPr="00C40B5B">
        <w:rPr>
          <w:i/>
        </w:rPr>
        <w:t>Catan and Others v. Moldova and Russia</w:t>
      </w:r>
      <w:r w:rsidRPr="00C40B5B">
        <w:t xml:space="preserve">, nos. 43370/04, 8252/05 and 18454/06, judgment of 19 October 2012, § 109), must endeavour, with all means available to it </w:t>
      </w:r>
      <w:r w:rsidRPr="00C40B5B">
        <w:rPr>
          <w:i/>
        </w:rPr>
        <w:t>vis-à-vis</w:t>
      </w:r>
      <w:r w:rsidRPr="00C40B5B">
        <w:t xml:space="preserve"> the</w:t>
      </w:r>
      <w:r w:rsidR="00032CA7" w:rsidRPr="00C40B5B">
        <w:t xml:space="preserve"> competent authorities in Kosovo</w:t>
      </w:r>
      <w:r w:rsidRPr="00C40B5B">
        <w:t xml:space="preserve">, to obtain assurances that the investigations concerning the case at issue will be continued in compliance with the requirements of an effective investigation as envisaged by Article 2, that the circumstances surrounding the </w:t>
      </w:r>
      <w:r w:rsidR="00A71A89" w:rsidRPr="00C40B5B">
        <w:t xml:space="preserve">abduction and </w:t>
      </w:r>
      <w:r w:rsidR="008C1A0D" w:rsidRPr="00C40B5B">
        <w:t>killing of</w:t>
      </w:r>
      <w:r w:rsidR="008C1A0D" w:rsidRPr="00C40B5B">
        <w:rPr>
          <w:bCs/>
        </w:rPr>
        <w:t xml:space="preserve"> </w:t>
      </w:r>
      <w:r w:rsidR="004F622A" w:rsidRPr="00C40B5B">
        <w:rPr>
          <w:bCs/>
        </w:rPr>
        <w:t xml:space="preserve">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9E0B01" w:rsidRPr="00C40B5B">
        <w:t xml:space="preserve"> </w:t>
      </w:r>
      <w:r w:rsidRPr="00C40B5B">
        <w:t>will be established and that perpetrators will be brought to justice. The complainant</w:t>
      </w:r>
      <w:r w:rsidR="000E2A2A" w:rsidRPr="00C40B5B">
        <w:t xml:space="preserve"> </w:t>
      </w:r>
      <w:r w:rsidRPr="00C40B5B">
        <w:t>and/or other next-of-kin shall be informed of such proceedings and relevant documents shall be disclosed to them, as necessary;</w:t>
      </w:r>
    </w:p>
    <w:p w:rsidR="00F52A7B" w:rsidRPr="00C40B5B" w:rsidRDefault="00F52A7B" w:rsidP="008C1A0D">
      <w:pPr>
        <w:suppressAutoHyphens/>
        <w:autoSpaceDE w:val="0"/>
        <w:ind w:left="709" w:hanging="270"/>
        <w:jc w:val="both"/>
        <w:rPr>
          <w:b/>
          <w:bCs/>
        </w:rPr>
      </w:pPr>
    </w:p>
    <w:p w:rsidR="00F52A7B" w:rsidRPr="00C40B5B" w:rsidRDefault="00F52A7B" w:rsidP="009C4FE8">
      <w:pPr>
        <w:numPr>
          <w:ilvl w:val="0"/>
          <w:numId w:val="8"/>
        </w:numPr>
        <w:tabs>
          <w:tab w:val="left" w:pos="900"/>
        </w:tabs>
        <w:suppressAutoHyphens/>
        <w:autoSpaceDE w:val="0"/>
        <w:ind w:left="720" w:firstLine="0"/>
        <w:jc w:val="both"/>
      </w:pPr>
      <w:r w:rsidRPr="00C40B5B">
        <w:t xml:space="preserve">Publicly acknowledges, within a reasonable time, responsibility with respect to UNMIK’s failure to adequately investigate the </w:t>
      </w:r>
      <w:r w:rsidR="00A71A89" w:rsidRPr="00C40B5B">
        <w:t>abduction and killing of</w:t>
      </w:r>
      <w:r w:rsidR="00A71A89" w:rsidRPr="00C40B5B">
        <w:rPr>
          <w:bCs/>
        </w:rPr>
        <w:t xml:space="preserve"> Mr </w:t>
      </w:r>
      <w:proofErr w:type="spellStart"/>
      <w:r w:rsidR="00820F3A" w:rsidRPr="00C40B5B">
        <w:t>Svetozar</w:t>
      </w:r>
      <w:proofErr w:type="spellEnd"/>
      <w:r w:rsidR="00820F3A" w:rsidRPr="00C40B5B">
        <w:t xml:space="preserve"> </w:t>
      </w:r>
      <w:proofErr w:type="spellStart"/>
      <w:r w:rsidR="00820F3A" w:rsidRPr="00C40B5B">
        <w:t>Tomić</w:t>
      </w:r>
      <w:proofErr w:type="spellEnd"/>
      <w:r w:rsidR="00A71A89" w:rsidRPr="00C40B5B">
        <w:t xml:space="preserve"> </w:t>
      </w:r>
      <w:r w:rsidR="006E22C0" w:rsidRPr="00C40B5B">
        <w:t>and make</w:t>
      </w:r>
      <w:r w:rsidRPr="00C40B5B">
        <w:t xml:space="preserve"> a public apology to the complainant and </w:t>
      </w:r>
      <w:r w:rsidR="006E22C0" w:rsidRPr="00C40B5B">
        <w:t>her</w:t>
      </w:r>
      <w:r w:rsidRPr="00C40B5B">
        <w:t xml:space="preserve"> famil</w:t>
      </w:r>
      <w:r w:rsidR="006E22C0" w:rsidRPr="00C40B5B">
        <w:t>y</w:t>
      </w:r>
      <w:r w:rsidRPr="00C40B5B">
        <w:t xml:space="preserve"> in this regard; </w:t>
      </w:r>
    </w:p>
    <w:p w:rsidR="00F52A7B" w:rsidRPr="00C40B5B" w:rsidRDefault="00F52A7B" w:rsidP="008C1A0D">
      <w:pPr>
        <w:suppressAutoHyphens/>
        <w:autoSpaceDE w:val="0"/>
        <w:ind w:left="709" w:hanging="270"/>
        <w:jc w:val="both"/>
      </w:pPr>
    </w:p>
    <w:p w:rsidR="00F52A7B" w:rsidRPr="00C40B5B" w:rsidRDefault="00F52A7B" w:rsidP="009C4FE8">
      <w:pPr>
        <w:numPr>
          <w:ilvl w:val="0"/>
          <w:numId w:val="8"/>
        </w:numPr>
        <w:tabs>
          <w:tab w:val="left" w:pos="900"/>
        </w:tabs>
        <w:suppressAutoHyphens/>
        <w:autoSpaceDE w:val="0"/>
        <w:ind w:left="720" w:firstLine="0"/>
        <w:jc w:val="both"/>
      </w:pPr>
      <w:r w:rsidRPr="00C40B5B">
        <w:t>Takes appropriate steps towards payment of adequate compensation to the complainant for the moral damage suffered due to UNMIK’s failure to conduct an effective investigation.</w:t>
      </w:r>
    </w:p>
    <w:p w:rsidR="00F52A7B" w:rsidRPr="00C40B5B" w:rsidRDefault="00F52A7B" w:rsidP="00F52A7B">
      <w:pPr>
        <w:suppressAutoHyphens/>
        <w:autoSpaceDE w:val="0"/>
        <w:ind w:left="360"/>
        <w:jc w:val="both"/>
        <w:rPr>
          <w:b/>
          <w:bCs/>
        </w:rPr>
      </w:pPr>
    </w:p>
    <w:p w:rsidR="007235C8" w:rsidRDefault="007235C8" w:rsidP="00560510">
      <w:pPr>
        <w:suppressAutoHyphens/>
        <w:autoSpaceDE w:val="0"/>
        <w:ind w:left="450"/>
        <w:jc w:val="both"/>
        <w:rPr>
          <w:b/>
          <w:bCs/>
        </w:rPr>
      </w:pPr>
    </w:p>
    <w:p w:rsidR="007235C8" w:rsidRDefault="007235C8" w:rsidP="00560510">
      <w:pPr>
        <w:suppressAutoHyphens/>
        <w:autoSpaceDE w:val="0"/>
        <w:ind w:left="450"/>
        <w:jc w:val="both"/>
        <w:rPr>
          <w:b/>
          <w:bCs/>
        </w:rPr>
      </w:pPr>
    </w:p>
    <w:p w:rsidR="007235C8" w:rsidRDefault="007235C8" w:rsidP="00560510">
      <w:pPr>
        <w:suppressAutoHyphens/>
        <w:autoSpaceDE w:val="0"/>
        <w:ind w:left="450"/>
        <w:jc w:val="both"/>
        <w:rPr>
          <w:b/>
          <w:bCs/>
        </w:rPr>
      </w:pPr>
    </w:p>
    <w:p w:rsidR="00F52A7B" w:rsidRPr="00C40B5B" w:rsidRDefault="00F52A7B" w:rsidP="00560510">
      <w:pPr>
        <w:suppressAutoHyphens/>
        <w:autoSpaceDE w:val="0"/>
        <w:ind w:left="450"/>
        <w:jc w:val="both"/>
        <w:rPr>
          <w:b/>
          <w:bCs/>
        </w:rPr>
      </w:pPr>
      <w:r w:rsidRPr="00C40B5B">
        <w:rPr>
          <w:b/>
          <w:bCs/>
        </w:rPr>
        <w:lastRenderedPageBreak/>
        <w:t>The Panel also considers appropriate that UNMIK:</w:t>
      </w:r>
    </w:p>
    <w:p w:rsidR="00F52A7B" w:rsidRPr="00C40B5B" w:rsidRDefault="00F52A7B" w:rsidP="008C1A0D">
      <w:pPr>
        <w:tabs>
          <w:tab w:val="left" w:pos="900"/>
        </w:tabs>
        <w:suppressAutoHyphens/>
        <w:autoSpaceDE w:val="0"/>
        <w:ind w:left="720"/>
        <w:jc w:val="both"/>
      </w:pPr>
    </w:p>
    <w:p w:rsidR="00F52A7B" w:rsidRPr="00C40B5B" w:rsidRDefault="008025EF" w:rsidP="009C4FE8">
      <w:pPr>
        <w:numPr>
          <w:ilvl w:val="0"/>
          <w:numId w:val="8"/>
        </w:numPr>
        <w:tabs>
          <w:tab w:val="left" w:pos="900"/>
        </w:tabs>
        <w:suppressAutoHyphens/>
        <w:autoSpaceDE w:val="0"/>
        <w:ind w:left="720" w:firstLine="0"/>
        <w:jc w:val="both"/>
      </w:pPr>
      <w:r w:rsidRPr="00C40B5B">
        <w:t>I</w:t>
      </w:r>
      <w:r w:rsidR="00F52A7B" w:rsidRPr="00C40B5B">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C40B5B" w:rsidRDefault="00F52A7B" w:rsidP="008C1A0D">
      <w:pPr>
        <w:tabs>
          <w:tab w:val="left" w:pos="900"/>
        </w:tabs>
        <w:suppressAutoHyphens/>
        <w:autoSpaceDE w:val="0"/>
        <w:ind w:left="720"/>
        <w:jc w:val="both"/>
      </w:pPr>
    </w:p>
    <w:p w:rsidR="00F52A7B" w:rsidRPr="00C40B5B" w:rsidRDefault="00F52A7B" w:rsidP="009C4FE8">
      <w:pPr>
        <w:numPr>
          <w:ilvl w:val="0"/>
          <w:numId w:val="8"/>
        </w:numPr>
        <w:tabs>
          <w:tab w:val="left" w:pos="900"/>
        </w:tabs>
        <w:suppressAutoHyphens/>
        <w:autoSpaceDE w:val="0"/>
        <w:ind w:left="720" w:firstLine="0"/>
        <w:jc w:val="both"/>
      </w:pPr>
      <w:r w:rsidRPr="00C40B5B">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Pr="00C40B5B" w:rsidRDefault="00F52A7B" w:rsidP="00F52A7B">
      <w:pPr>
        <w:pStyle w:val="Normal1"/>
        <w:spacing w:before="0" w:beforeAutospacing="0" w:after="0" w:afterAutospacing="0"/>
        <w:jc w:val="both"/>
        <w:rPr>
          <w:b/>
        </w:rPr>
      </w:pPr>
    </w:p>
    <w:p w:rsidR="005B7C68" w:rsidRPr="00C40B5B" w:rsidRDefault="005B7C68" w:rsidP="00F52A7B">
      <w:pPr>
        <w:pStyle w:val="Normal1"/>
        <w:spacing w:before="0" w:beforeAutospacing="0" w:after="0" w:afterAutospacing="0"/>
        <w:jc w:val="both"/>
        <w:rPr>
          <w:b/>
        </w:rPr>
      </w:pPr>
    </w:p>
    <w:p w:rsidR="00F52A7B" w:rsidRPr="00C40B5B" w:rsidRDefault="00F52A7B" w:rsidP="00F52A7B">
      <w:pPr>
        <w:pStyle w:val="Normal1"/>
        <w:spacing w:before="0" w:beforeAutospacing="0" w:after="0" w:afterAutospacing="0"/>
        <w:jc w:val="both"/>
        <w:rPr>
          <w:b/>
        </w:rPr>
      </w:pPr>
      <w:r w:rsidRPr="00C40B5B">
        <w:rPr>
          <w:b/>
        </w:rPr>
        <w:t>FOR THESE REASONS,</w:t>
      </w:r>
    </w:p>
    <w:p w:rsidR="00497C0C" w:rsidRPr="00C40B5B" w:rsidRDefault="00497C0C" w:rsidP="00F52A7B">
      <w:pPr>
        <w:pStyle w:val="Normal1"/>
        <w:spacing w:before="0" w:beforeAutospacing="0" w:after="0" w:afterAutospacing="0"/>
        <w:jc w:val="both"/>
        <w:rPr>
          <w:b/>
        </w:rPr>
      </w:pPr>
    </w:p>
    <w:p w:rsidR="00F52A7B" w:rsidRPr="00C40B5B" w:rsidRDefault="00F52A7B" w:rsidP="00F52A7B">
      <w:pPr>
        <w:autoSpaceDE w:val="0"/>
        <w:autoSpaceDN w:val="0"/>
        <w:adjustRightInd w:val="0"/>
        <w:jc w:val="both"/>
      </w:pPr>
      <w:r w:rsidRPr="00C40B5B">
        <w:t>The Panel, unanimously,</w:t>
      </w:r>
    </w:p>
    <w:p w:rsidR="00F52A7B" w:rsidRPr="00C40B5B" w:rsidRDefault="00F52A7B" w:rsidP="00F52A7B">
      <w:pPr>
        <w:autoSpaceDE w:val="0"/>
        <w:autoSpaceDN w:val="0"/>
        <w:adjustRightInd w:val="0"/>
        <w:jc w:val="both"/>
      </w:pPr>
    </w:p>
    <w:p w:rsidR="00F52A7B" w:rsidRPr="00C40B5B" w:rsidRDefault="00F52A7B" w:rsidP="00F034CA">
      <w:pPr>
        <w:pStyle w:val="JuList"/>
        <w:numPr>
          <w:ilvl w:val="0"/>
          <w:numId w:val="5"/>
        </w:numPr>
        <w:tabs>
          <w:tab w:val="clear" w:pos="567"/>
          <w:tab w:val="num" w:pos="-142"/>
        </w:tabs>
        <w:ind w:left="284" w:hanging="284"/>
        <w:rPr>
          <w:b/>
        </w:rPr>
      </w:pPr>
      <w:r w:rsidRPr="00C40B5B">
        <w:rPr>
          <w:b/>
        </w:rPr>
        <w:t>FINDS THAT THERE HAS BEEN</w:t>
      </w:r>
      <w:r w:rsidR="001B155D" w:rsidRPr="00C40B5B">
        <w:rPr>
          <w:b/>
        </w:rPr>
        <w:t xml:space="preserve"> A VIOLATION OF THE PROCEDURAL </w:t>
      </w:r>
      <w:r w:rsidRPr="00C40B5B">
        <w:rPr>
          <w:b/>
        </w:rPr>
        <w:t>OBLIGATION UNDER ARTICLE 2</w:t>
      </w:r>
      <w:r w:rsidR="001B155D" w:rsidRPr="00C40B5B">
        <w:rPr>
          <w:b/>
        </w:rPr>
        <w:t xml:space="preserve"> OF THE EUROPEAN CONVENTION ON </w:t>
      </w:r>
      <w:r w:rsidRPr="00C40B5B">
        <w:rPr>
          <w:b/>
        </w:rPr>
        <w:t>HUMAN RIGHTS;</w:t>
      </w:r>
    </w:p>
    <w:p w:rsidR="00F52A7B" w:rsidRPr="00C40B5B" w:rsidRDefault="00F52A7B" w:rsidP="008C1A0D">
      <w:pPr>
        <w:pStyle w:val="JuList"/>
        <w:tabs>
          <w:tab w:val="num" w:pos="360"/>
        </w:tabs>
        <w:ind w:left="360" w:hanging="360"/>
        <w:rPr>
          <w:b/>
        </w:rPr>
      </w:pPr>
    </w:p>
    <w:p w:rsidR="00F52A7B" w:rsidRPr="00C40B5B" w:rsidRDefault="00F52A7B" w:rsidP="00F034CA">
      <w:pPr>
        <w:pStyle w:val="JuList"/>
        <w:numPr>
          <w:ilvl w:val="0"/>
          <w:numId w:val="5"/>
        </w:numPr>
        <w:tabs>
          <w:tab w:val="clear" w:pos="567"/>
          <w:tab w:val="num" w:pos="-142"/>
        </w:tabs>
        <w:ind w:left="284" w:hanging="284"/>
        <w:rPr>
          <w:b/>
        </w:rPr>
      </w:pPr>
      <w:r w:rsidRPr="00C40B5B">
        <w:rPr>
          <w:b/>
        </w:rPr>
        <w:t>RECOMMENDS</w:t>
      </w:r>
      <w:r w:rsidRPr="00C40B5B">
        <w:rPr>
          <w:b/>
          <w:bCs/>
          <w:lang w:eastAsia="en-US"/>
        </w:rPr>
        <w:t xml:space="preserve"> THAT UNMIK:</w:t>
      </w:r>
    </w:p>
    <w:p w:rsidR="00F52A7B" w:rsidRPr="00C40B5B" w:rsidRDefault="00F52A7B" w:rsidP="008C1A0D">
      <w:pPr>
        <w:pStyle w:val="JuList"/>
        <w:tabs>
          <w:tab w:val="num" w:pos="540"/>
        </w:tabs>
        <w:ind w:left="270" w:firstLine="0"/>
        <w:rPr>
          <w:b/>
          <w:bCs/>
          <w:lang w:eastAsia="en-US"/>
        </w:rPr>
      </w:pPr>
    </w:p>
    <w:p w:rsidR="00AF00F9" w:rsidRPr="00C40B5B" w:rsidRDefault="00F52A7B" w:rsidP="003D5712">
      <w:pPr>
        <w:pStyle w:val="JuList"/>
        <w:numPr>
          <w:ilvl w:val="0"/>
          <w:numId w:val="6"/>
        </w:numPr>
        <w:tabs>
          <w:tab w:val="num" w:pos="720"/>
        </w:tabs>
        <w:ind w:left="720"/>
        <w:rPr>
          <w:b/>
          <w:bCs/>
          <w:lang w:eastAsia="en-US"/>
        </w:rPr>
      </w:pPr>
      <w:r w:rsidRPr="00C40B5B">
        <w:rPr>
          <w:b/>
          <w:bCs/>
          <w:lang w:eastAsia="en-US"/>
        </w:rPr>
        <w:t xml:space="preserve">URGES </w:t>
      </w:r>
      <w:r w:rsidR="00C3019E" w:rsidRPr="00C40B5B">
        <w:rPr>
          <w:b/>
          <w:bCs/>
          <w:lang w:eastAsia="en-US"/>
        </w:rPr>
        <w:t>THE</w:t>
      </w:r>
      <w:r w:rsidRPr="00C40B5B">
        <w:rPr>
          <w:b/>
          <w:bCs/>
          <w:lang w:eastAsia="en-US"/>
        </w:rPr>
        <w:t xml:space="preserve"> COMPETENT AUTHORITIES IN KOSOVO TO TAKE ALL POSSIBLE STEPS IN ORDER TO ENSURE THAT THE CRIMINAL INVESTIGATION INTO THE </w:t>
      </w:r>
      <w:r w:rsidR="00A71A89" w:rsidRPr="00C40B5B">
        <w:rPr>
          <w:b/>
          <w:bCs/>
          <w:lang w:eastAsia="en-US"/>
        </w:rPr>
        <w:t xml:space="preserve">ABDUCTION AND </w:t>
      </w:r>
      <w:r w:rsidR="008C1A0D" w:rsidRPr="00C40B5B">
        <w:rPr>
          <w:b/>
          <w:lang w:val="en-US"/>
        </w:rPr>
        <w:t>KILLING</w:t>
      </w:r>
      <w:r w:rsidR="00FA2E62" w:rsidRPr="00C40B5B">
        <w:rPr>
          <w:b/>
          <w:lang w:val="en-US"/>
        </w:rPr>
        <w:t xml:space="preserve"> OF </w:t>
      </w:r>
      <w:r w:rsidR="00564D34" w:rsidRPr="00C40B5B">
        <w:rPr>
          <w:b/>
          <w:lang w:val="en-US"/>
        </w:rPr>
        <w:t>MR</w:t>
      </w:r>
      <w:r w:rsidR="00A71A89" w:rsidRPr="00C40B5B">
        <w:rPr>
          <w:b/>
          <w:lang w:val="en-US"/>
        </w:rPr>
        <w:t xml:space="preserve"> </w:t>
      </w:r>
      <w:r w:rsidR="00820F3A" w:rsidRPr="00C40B5B">
        <w:rPr>
          <w:b/>
          <w:lang w:val="en-US"/>
        </w:rPr>
        <w:t>SVETOZAR TOMIĆ</w:t>
      </w:r>
      <w:r w:rsidR="004F622A" w:rsidRPr="00C40B5B">
        <w:rPr>
          <w:b/>
          <w:lang w:val="en-US"/>
        </w:rPr>
        <w:t xml:space="preserve"> </w:t>
      </w:r>
      <w:r w:rsidRPr="00C40B5B">
        <w:rPr>
          <w:b/>
          <w:bCs/>
          <w:lang w:eastAsia="en-US"/>
        </w:rPr>
        <w:t>IS CONTINUED IN COMPLIANCE WITH ARTICLE 2 OF THE ECHR AND THAT THE PERPETRATORS ARE BROUGHT TO JUSTICE;</w:t>
      </w:r>
    </w:p>
    <w:p w:rsidR="00EC5260" w:rsidRPr="00C40B5B" w:rsidRDefault="00EC5260" w:rsidP="00EC5260">
      <w:pPr>
        <w:pStyle w:val="JuList"/>
        <w:ind w:left="720" w:firstLine="0"/>
        <w:rPr>
          <w:b/>
          <w:bCs/>
          <w:lang w:eastAsia="en-US"/>
        </w:rPr>
      </w:pPr>
    </w:p>
    <w:p w:rsidR="00AF00F9" w:rsidRPr="00C40B5B" w:rsidRDefault="00AF00F9" w:rsidP="00AF00F9">
      <w:pPr>
        <w:pStyle w:val="JuList"/>
        <w:numPr>
          <w:ilvl w:val="0"/>
          <w:numId w:val="6"/>
        </w:numPr>
        <w:tabs>
          <w:tab w:val="num" w:pos="720"/>
        </w:tabs>
        <w:ind w:left="720"/>
        <w:rPr>
          <w:b/>
          <w:bCs/>
          <w:lang w:eastAsia="en-US"/>
        </w:rPr>
      </w:pPr>
      <w:r w:rsidRPr="00C40B5B">
        <w:rPr>
          <w:b/>
          <w:bCs/>
          <w:lang w:eastAsia="en-US"/>
        </w:rPr>
        <w:t xml:space="preserve">PUBLICLY ACKNOWLEDGES RESPONSIBILITY FOR ITS FAILURE TO CONDUCT AN EFFECTIVE </w:t>
      </w:r>
      <w:r w:rsidR="00E96B6B" w:rsidRPr="00C40B5B">
        <w:rPr>
          <w:b/>
          <w:bCs/>
          <w:lang w:eastAsia="en-US"/>
        </w:rPr>
        <w:t xml:space="preserve">INVESTIGATION INTO THE </w:t>
      </w:r>
      <w:r w:rsidR="00A71A89" w:rsidRPr="00C40B5B">
        <w:rPr>
          <w:b/>
          <w:bCs/>
          <w:lang w:eastAsia="en-US"/>
        </w:rPr>
        <w:t xml:space="preserve">ABDUCTION AND </w:t>
      </w:r>
      <w:r w:rsidR="00A71A89" w:rsidRPr="00C40B5B">
        <w:rPr>
          <w:b/>
          <w:lang w:val="en-US"/>
        </w:rPr>
        <w:t xml:space="preserve">KILLING OF MR </w:t>
      </w:r>
      <w:r w:rsidR="00820F3A" w:rsidRPr="00C40B5B">
        <w:rPr>
          <w:b/>
          <w:lang w:val="en-US"/>
        </w:rPr>
        <w:t>SVETOZAR TOMIĆ</w:t>
      </w:r>
      <w:r w:rsidR="004D6157" w:rsidRPr="00C40B5B">
        <w:rPr>
          <w:b/>
          <w:lang w:val="en-US"/>
        </w:rPr>
        <w:t xml:space="preserve"> </w:t>
      </w:r>
      <w:r w:rsidRPr="00C40B5B">
        <w:rPr>
          <w:b/>
          <w:bCs/>
          <w:lang w:eastAsia="en-US"/>
        </w:rPr>
        <w:t xml:space="preserve">AND MAKES A PUBLIC APOLOGY TO THE COMPLAINANT; </w:t>
      </w:r>
    </w:p>
    <w:p w:rsidR="00F52A7B" w:rsidRPr="00C40B5B" w:rsidRDefault="00F52A7B" w:rsidP="008C1A0D">
      <w:pPr>
        <w:pStyle w:val="JuList"/>
        <w:tabs>
          <w:tab w:val="num" w:pos="900"/>
        </w:tabs>
        <w:ind w:left="900" w:firstLine="0"/>
        <w:rPr>
          <w:b/>
          <w:bCs/>
          <w:lang w:eastAsia="en-US"/>
        </w:rPr>
      </w:pPr>
    </w:p>
    <w:p w:rsidR="00F52A7B" w:rsidRPr="00C40B5B" w:rsidRDefault="00560510" w:rsidP="008C1A0D">
      <w:pPr>
        <w:pStyle w:val="JuList"/>
        <w:numPr>
          <w:ilvl w:val="0"/>
          <w:numId w:val="6"/>
        </w:numPr>
        <w:tabs>
          <w:tab w:val="num" w:pos="720"/>
        </w:tabs>
        <w:ind w:left="720"/>
        <w:rPr>
          <w:b/>
        </w:rPr>
      </w:pPr>
      <w:r w:rsidRPr="00C40B5B">
        <w:rPr>
          <w:b/>
          <w:bCs/>
          <w:caps/>
          <w:lang w:eastAsia="en-US"/>
        </w:rPr>
        <w:t xml:space="preserve">TAKES APPROPRIATE STEPS TOWARDS PAYMENT OF ADEQUATE </w:t>
      </w:r>
      <w:r w:rsidRPr="00C40B5B">
        <w:rPr>
          <w:b/>
          <w:bCs/>
          <w:lang w:eastAsia="en-US"/>
        </w:rPr>
        <w:t>COMPENSATION</w:t>
      </w:r>
      <w:r w:rsidRPr="00C40B5B">
        <w:rPr>
          <w:b/>
          <w:bCs/>
          <w:caps/>
          <w:lang w:eastAsia="en-US"/>
        </w:rPr>
        <w:t xml:space="preserve"> FOR MORAL DAMAGE IN RELATION TO THE FINDING OF VIOLATIONS OF ARTICLE 2 TO </w:t>
      </w:r>
      <w:r w:rsidR="00FA2E62" w:rsidRPr="00C40B5B">
        <w:rPr>
          <w:b/>
          <w:bCs/>
          <w:caps/>
          <w:lang w:eastAsia="en-US"/>
        </w:rPr>
        <w:t>THE</w:t>
      </w:r>
      <w:r w:rsidRPr="00C40B5B">
        <w:rPr>
          <w:b/>
          <w:bCs/>
          <w:caps/>
          <w:lang w:eastAsia="en-US"/>
        </w:rPr>
        <w:t xml:space="preserve"> COMPLAINANT</w:t>
      </w:r>
      <w:r w:rsidRPr="00C40B5B">
        <w:rPr>
          <w:b/>
        </w:rPr>
        <w:t>;</w:t>
      </w:r>
    </w:p>
    <w:p w:rsidR="00F52A7B" w:rsidRPr="00C40B5B" w:rsidRDefault="00F52A7B" w:rsidP="008C1A0D">
      <w:pPr>
        <w:pStyle w:val="JuList"/>
        <w:tabs>
          <w:tab w:val="num" w:pos="900"/>
        </w:tabs>
        <w:ind w:left="900" w:firstLine="0"/>
        <w:rPr>
          <w:b/>
          <w:bCs/>
          <w:lang w:eastAsia="en-US"/>
        </w:rPr>
      </w:pPr>
    </w:p>
    <w:p w:rsidR="00F52A7B" w:rsidRPr="00C40B5B" w:rsidRDefault="00F52A7B" w:rsidP="008C1A0D">
      <w:pPr>
        <w:pStyle w:val="JuList"/>
        <w:numPr>
          <w:ilvl w:val="0"/>
          <w:numId w:val="6"/>
        </w:numPr>
        <w:tabs>
          <w:tab w:val="num" w:pos="720"/>
        </w:tabs>
        <w:ind w:left="720"/>
        <w:rPr>
          <w:b/>
          <w:bCs/>
          <w:lang w:eastAsia="en-US"/>
        </w:rPr>
      </w:pPr>
      <w:r w:rsidRPr="00C40B5B">
        <w:rPr>
          <w:b/>
          <w:bCs/>
          <w:lang w:eastAsia="en-US"/>
        </w:rPr>
        <w:t>TAKES APPROPRIATE STEPS TOWARDS THE REALISATION OF A FULL AND COMPREHENSIVE REPARATION PROGRAMME;</w:t>
      </w:r>
    </w:p>
    <w:p w:rsidR="00F52A7B" w:rsidRPr="00C40B5B" w:rsidRDefault="00F52A7B" w:rsidP="008C1A0D">
      <w:pPr>
        <w:pStyle w:val="ListParagraph"/>
        <w:tabs>
          <w:tab w:val="num" w:pos="900"/>
        </w:tabs>
        <w:ind w:left="900"/>
        <w:rPr>
          <w:b/>
          <w:bCs/>
          <w:lang w:eastAsia="en-US"/>
        </w:rPr>
      </w:pPr>
    </w:p>
    <w:p w:rsidR="00F52A7B" w:rsidRPr="00C40B5B" w:rsidRDefault="00F52A7B" w:rsidP="008C1A0D">
      <w:pPr>
        <w:pStyle w:val="JuList"/>
        <w:numPr>
          <w:ilvl w:val="0"/>
          <w:numId w:val="6"/>
        </w:numPr>
        <w:tabs>
          <w:tab w:val="num" w:pos="720"/>
        </w:tabs>
        <w:ind w:left="720"/>
        <w:rPr>
          <w:b/>
          <w:bCs/>
          <w:lang w:eastAsia="en-US"/>
        </w:rPr>
      </w:pPr>
      <w:r w:rsidRPr="00C40B5B">
        <w:rPr>
          <w:b/>
          <w:bCs/>
          <w:lang w:eastAsia="en-US"/>
        </w:rPr>
        <w:t>TAKES APPROPRIATE STEPS AT THE UNITED NATIONS AS A GUARANTEE OF NON REPETITION;</w:t>
      </w:r>
    </w:p>
    <w:p w:rsidR="0097400B" w:rsidRPr="00C40B5B" w:rsidRDefault="0097400B" w:rsidP="008C1A0D">
      <w:pPr>
        <w:pStyle w:val="JuList"/>
        <w:tabs>
          <w:tab w:val="num" w:pos="900"/>
        </w:tabs>
        <w:ind w:left="900" w:firstLine="0"/>
        <w:rPr>
          <w:b/>
          <w:bCs/>
          <w:lang w:eastAsia="en-US"/>
        </w:rPr>
      </w:pPr>
    </w:p>
    <w:p w:rsidR="00CD5F25" w:rsidRPr="00C40B5B" w:rsidRDefault="00F52A7B" w:rsidP="00F52A7B">
      <w:pPr>
        <w:pStyle w:val="JuList"/>
        <w:numPr>
          <w:ilvl w:val="0"/>
          <w:numId w:val="6"/>
        </w:numPr>
        <w:tabs>
          <w:tab w:val="num" w:pos="720"/>
        </w:tabs>
        <w:autoSpaceDE w:val="0"/>
        <w:autoSpaceDN w:val="0"/>
        <w:adjustRightInd w:val="0"/>
        <w:ind w:left="720"/>
        <w:rPr>
          <w:b/>
          <w:bCs/>
        </w:rPr>
      </w:pPr>
      <w:r w:rsidRPr="00C40B5B">
        <w:rPr>
          <w:b/>
          <w:bCs/>
          <w:lang w:eastAsia="en-US"/>
        </w:rPr>
        <w:t>TAKES IMMEDIATE AND EFFECTIVE MEASURES TO IMPLEMENT THE RECOMMENDATIONS OF THE PANEL AND TO INFORM THE COMPLAINANT AND THE PANEL ABOUT FURTHER DEVELOPMENTS IN THIS CASE.</w:t>
      </w:r>
    </w:p>
    <w:p w:rsidR="00CD5F25" w:rsidRPr="00C40B5B" w:rsidRDefault="00CD5F25" w:rsidP="00F52A7B">
      <w:pPr>
        <w:autoSpaceDE w:val="0"/>
        <w:autoSpaceDN w:val="0"/>
        <w:adjustRightInd w:val="0"/>
        <w:jc w:val="both"/>
        <w:rPr>
          <w:b/>
          <w:bCs/>
        </w:rPr>
      </w:pPr>
    </w:p>
    <w:p w:rsidR="00CD5F25" w:rsidRPr="00C40B5B" w:rsidRDefault="00CD5F25" w:rsidP="00F52A7B">
      <w:pPr>
        <w:autoSpaceDE w:val="0"/>
        <w:autoSpaceDN w:val="0"/>
        <w:adjustRightInd w:val="0"/>
        <w:jc w:val="both"/>
        <w:rPr>
          <w:b/>
          <w:bCs/>
        </w:rPr>
      </w:pPr>
    </w:p>
    <w:p w:rsidR="00366207" w:rsidRDefault="00366207" w:rsidP="00F52A7B">
      <w:pPr>
        <w:autoSpaceDE w:val="0"/>
        <w:autoSpaceDN w:val="0"/>
        <w:adjustRightInd w:val="0"/>
        <w:jc w:val="both"/>
        <w:rPr>
          <w:b/>
          <w:bCs/>
        </w:rPr>
      </w:pPr>
    </w:p>
    <w:p w:rsidR="007235C8" w:rsidRDefault="007235C8" w:rsidP="00F52A7B">
      <w:pPr>
        <w:autoSpaceDE w:val="0"/>
        <w:autoSpaceDN w:val="0"/>
        <w:adjustRightInd w:val="0"/>
        <w:jc w:val="both"/>
        <w:rPr>
          <w:b/>
          <w:bCs/>
        </w:rPr>
      </w:pPr>
    </w:p>
    <w:p w:rsidR="007235C8" w:rsidRPr="00C40B5B" w:rsidRDefault="007235C8" w:rsidP="00F52A7B">
      <w:pPr>
        <w:autoSpaceDE w:val="0"/>
        <w:autoSpaceDN w:val="0"/>
        <w:adjustRightInd w:val="0"/>
        <w:jc w:val="both"/>
        <w:rPr>
          <w:b/>
          <w:bCs/>
        </w:rPr>
      </w:pPr>
    </w:p>
    <w:p w:rsidR="00F52A7B" w:rsidRPr="00C40B5B" w:rsidRDefault="00F52A7B" w:rsidP="00F52A7B">
      <w:pPr>
        <w:autoSpaceDE w:val="0"/>
        <w:autoSpaceDN w:val="0"/>
        <w:adjustRightInd w:val="0"/>
        <w:jc w:val="both"/>
      </w:pPr>
    </w:p>
    <w:p w:rsidR="00F52A7B" w:rsidRPr="00C40B5B" w:rsidRDefault="00AE399C" w:rsidP="009F0DB6">
      <w:pPr>
        <w:autoSpaceDE w:val="0"/>
        <w:autoSpaceDN w:val="0"/>
        <w:adjustRightInd w:val="0"/>
        <w:jc w:val="both"/>
      </w:pPr>
      <w:r w:rsidRPr="00C40B5B">
        <w:t>Andrey Antonov</w:t>
      </w:r>
      <w:r w:rsidR="00F52A7B" w:rsidRPr="00C40B5B">
        <w:tab/>
      </w:r>
      <w:r w:rsidR="00F52A7B" w:rsidRPr="00C40B5B">
        <w:tab/>
      </w:r>
      <w:r w:rsidR="001E0730" w:rsidRPr="00C40B5B">
        <w:tab/>
      </w:r>
      <w:r w:rsidR="001E0730" w:rsidRPr="00C40B5B">
        <w:tab/>
      </w:r>
      <w:r w:rsidR="001E0730" w:rsidRPr="00C40B5B">
        <w:tab/>
      </w:r>
      <w:r w:rsidR="001E0730" w:rsidRPr="00C40B5B">
        <w:tab/>
      </w:r>
      <w:r w:rsidR="001E0730" w:rsidRPr="00C40B5B">
        <w:tab/>
      </w:r>
      <w:r w:rsidR="00EC5260" w:rsidRPr="00C40B5B">
        <w:t>Marek Nowicki</w:t>
      </w:r>
    </w:p>
    <w:p w:rsidR="00F52A7B" w:rsidRPr="00C40B5B" w:rsidRDefault="00F52A7B" w:rsidP="009F0DB6">
      <w:pPr>
        <w:autoSpaceDE w:val="0"/>
        <w:autoSpaceDN w:val="0"/>
        <w:adjustRightInd w:val="0"/>
        <w:jc w:val="both"/>
      </w:pPr>
      <w:r w:rsidRPr="00C40B5B">
        <w:t>Executive Officer</w:t>
      </w:r>
      <w:r w:rsidR="00F95D8C" w:rsidRPr="00C40B5B">
        <w:t xml:space="preserve"> </w:t>
      </w:r>
      <w:r w:rsidR="00F95D8C" w:rsidRPr="00C40B5B">
        <w:tab/>
      </w:r>
      <w:r w:rsidR="00F95D8C" w:rsidRPr="00C40B5B">
        <w:tab/>
      </w:r>
      <w:r w:rsidR="00F95D8C" w:rsidRPr="00C40B5B">
        <w:tab/>
      </w:r>
      <w:r w:rsidR="00F95D8C" w:rsidRPr="00C40B5B">
        <w:tab/>
      </w:r>
      <w:r w:rsidR="00F95D8C" w:rsidRPr="00C40B5B">
        <w:tab/>
        <w:t xml:space="preserve"> </w:t>
      </w:r>
      <w:r w:rsidR="00AE399C" w:rsidRPr="00C40B5B">
        <w:tab/>
      </w:r>
      <w:r w:rsidR="00AE399C" w:rsidRPr="00C40B5B">
        <w:tab/>
      </w:r>
      <w:r w:rsidRPr="00C40B5B">
        <w:t>Presiding Member</w:t>
      </w:r>
    </w:p>
    <w:p w:rsidR="00CD5F25" w:rsidRPr="00C40B5B" w:rsidRDefault="00CD5F25">
      <w:r w:rsidRPr="00C40B5B">
        <w:br w:type="page"/>
      </w:r>
    </w:p>
    <w:p w:rsidR="009B768B" w:rsidRPr="00C40B5B" w:rsidRDefault="009B768B"/>
    <w:p w:rsidR="008F03DC" w:rsidRPr="00C40B5B" w:rsidRDefault="008F03DC" w:rsidP="008F03DC">
      <w:pPr>
        <w:jc w:val="right"/>
        <w:rPr>
          <w:i/>
        </w:rPr>
      </w:pPr>
      <w:r w:rsidRPr="00C40B5B">
        <w:rPr>
          <w:i/>
        </w:rPr>
        <w:t>Annex</w:t>
      </w:r>
    </w:p>
    <w:p w:rsidR="004F71FD" w:rsidRPr="00C40B5B" w:rsidRDefault="004F71FD" w:rsidP="004C104C">
      <w:pPr>
        <w:jc w:val="center"/>
        <w:rPr>
          <w:b/>
        </w:rPr>
      </w:pPr>
    </w:p>
    <w:p w:rsidR="00F52A7B" w:rsidRPr="00C40B5B" w:rsidRDefault="00F52A7B" w:rsidP="004C104C">
      <w:pPr>
        <w:jc w:val="center"/>
      </w:pPr>
      <w:r w:rsidRPr="00C40B5B">
        <w:rPr>
          <w:b/>
        </w:rPr>
        <w:t>ABBREVIATIONS AND ACRONYMS</w:t>
      </w:r>
    </w:p>
    <w:p w:rsidR="00F52A7B" w:rsidRPr="00C40B5B" w:rsidRDefault="00F52A7B" w:rsidP="00F52A7B">
      <w:pPr>
        <w:autoSpaceDE w:val="0"/>
        <w:jc w:val="both"/>
      </w:pPr>
    </w:p>
    <w:p w:rsidR="00F52A7B" w:rsidRPr="00C40B5B" w:rsidRDefault="00F52A7B" w:rsidP="00F52A7B">
      <w:pPr>
        <w:autoSpaceDE w:val="0"/>
        <w:jc w:val="both"/>
      </w:pPr>
      <w:r w:rsidRPr="00C40B5B">
        <w:rPr>
          <w:b/>
        </w:rPr>
        <w:t xml:space="preserve">CCIU </w:t>
      </w:r>
      <w:r w:rsidRPr="00C40B5B">
        <w:t>- Central Criminal Investigation Unit</w:t>
      </w:r>
    </w:p>
    <w:p w:rsidR="00F52A7B" w:rsidRPr="00C40B5B" w:rsidRDefault="00F52A7B" w:rsidP="00F52A7B">
      <w:pPr>
        <w:autoSpaceDE w:val="0"/>
        <w:jc w:val="both"/>
      </w:pPr>
      <w:r w:rsidRPr="00C40B5B">
        <w:rPr>
          <w:b/>
        </w:rPr>
        <w:t xml:space="preserve">CCPR – </w:t>
      </w:r>
      <w:r w:rsidRPr="00C40B5B">
        <w:t>International Covenant on Civil and Political Rights</w:t>
      </w:r>
    </w:p>
    <w:p w:rsidR="00F52A7B" w:rsidRPr="00C40B5B" w:rsidRDefault="00F52A7B" w:rsidP="00F52A7B">
      <w:pPr>
        <w:autoSpaceDE w:val="0"/>
        <w:jc w:val="both"/>
      </w:pPr>
      <w:r w:rsidRPr="00C40B5B">
        <w:rPr>
          <w:b/>
        </w:rPr>
        <w:t xml:space="preserve">DOJ </w:t>
      </w:r>
      <w:r w:rsidRPr="00C40B5B">
        <w:t>- Department of Justice</w:t>
      </w:r>
    </w:p>
    <w:p w:rsidR="00F52A7B" w:rsidRPr="00C40B5B" w:rsidRDefault="00F52A7B" w:rsidP="00F52A7B">
      <w:pPr>
        <w:autoSpaceDE w:val="0"/>
        <w:jc w:val="both"/>
      </w:pPr>
      <w:r w:rsidRPr="00C40B5B">
        <w:rPr>
          <w:b/>
        </w:rPr>
        <w:t>DPPO</w:t>
      </w:r>
      <w:r w:rsidRPr="00C40B5B">
        <w:t xml:space="preserve"> - District Public Prosecutor’s Office</w:t>
      </w:r>
    </w:p>
    <w:p w:rsidR="00F52A7B" w:rsidRPr="00C40B5B" w:rsidRDefault="00F52A7B" w:rsidP="00F52A7B">
      <w:pPr>
        <w:autoSpaceDE w:val="0"/>
        <w:jc w:val="both"/>
      </w:pPr>
      <w:r w:rsidRPr="00C40B5B">
        <w:rPr>
          <w:b/>
        </w:rPr>
        <w:t>ECHR</w:t>
      </w:r>
      <w:r w:rsidRPr="00C40B5B">
        <w:t xml:space="preserve"> - European Convention on Human Rights</w:t>
      </w:r>
    </w:p>
    <w:p w:rsidR="00F52A7B" w:rsidRPr="00C40B5B" w:rsidRDefault="00F52A7B" w:rsidP="00F52A7B">
      <w:pPr>
        <w:autoSpaceDE w:val="0"/>
        <w:jc w:val="both"/>
      </w:pPr>
      <w:r w:rsidRPr="00C40B5B">
        <w:rPr>
          <w:b/>
        </w:rPr>
        <w:t xml:space="preserve">ECtHR </w:t>
      </w:r>
      <w:r w:rsidRPr="00C40B5B">
        <w:t xml:space="preserve">- European Court of Human Rights </w:t>
      </w:r>
    </w:p>
    <w:p w:rsidR="00F52A7B" w:rsidRPr="00C40B5B" w:rsidRDefault="00F52A7B" w:rsidP="00F52A7B">
      <w:pPr>
        <w:autoSpaceDE w:val="0"/>
        <w:jc w:val="both"/>
      </w:pPr>
      <w:r w:rsidRPr="00C40B5B">
        <w:rPr>
          <w:b/>
        </w:rPr>
        <w:t>EU</w:t>
      </w:r>
      <w:r w:rsidRPr="00C40B5B">
        <w:t xml:space="preserve"> – European Union</w:t>
      </w:r>
    </w:p>
    <w:p w:rsidR="00F52A7B" w:rsidRPr="00C40B5B" w:rsidRDefault="00F52A7B" w:rsidP="00F52A7B">
      <w:pPr>
        <w:autoSpaceDE w:val="0"/>
        <w:jc w:val="both"/>
      </w:pPr>
      <w:r w:rsidRPr="00C40B5B">
        <w:rPr>
          <w:b/>
        </w:rPr>
        <w:t>EULEX</w:t>
      </w:r>
      <w:r w:rsidRPr="00C40B5B">
        <w:t xml:space="preserve"> - European Union Rule of Law Mission in Kosovo</w:t>
      </w:r>
    </w:p>
    <w:p w:rsidR="00F52A7B" w:rsidRPr="00C40B5B" w:rsidRDefault="00F52A7B" w:rsidP="00F52A7B">
      <w:pPr>
        <w:autoSpaceDE w:val="0"/>
        <w:jc w:val="both"/>
      </w:pPr>
      <w:r w:rsidRPr="00C40B5B">
        <w:rPr>
          <w:b/>
        </w:rPr>
        <w:t xml:space="preserve">FRY </w:t>
      </w:r>
      <w:r w:rsidRPr="00C40B5B">
        <w:t>-</w:t>
      </w:r>
      <w:r w:rsidR="00D47E53" w:rsidRPr="00C40B5B">
        <w:t xml:space="preserve"> Federal Republic of Yugoslavia</w:t>
      </w:r>
    </w:p>
    <w:p w:rsidR="00D47E53" w:rsidRPr="00C40B5B" w:rsidRDefault="00D47E53" w:rsidP="00F52A7B">
      <w:pPr>
        <w:autoSpaceDE w:val="0"/>
        <w:jc w:val="both"/>
      </w:pPr>
      <w:r w:rsidRPr="00C40B5B">
        <w:rPr>
          <w:b/>
        </w:rPr>
        <w:t>FYROM</w:t>
      </w:r>
      <w:r w:rsidRPr="00C40B5B">
        <w:t xml:space="preserve"> - Former Yugoslav Republic of Macedonia</w:t>
      </w:r>
    </w:p>
    <w:p w:rsidR="00F52A7B" w:rsidRPr="00C40B5B" w:rsidRDefault="00F52A7B" w:rsidP="00F52A7B">
      <w:pPr>
        <w:autoSpaceDE w:val="0"/>
        <w:jc w:val="both"/>
      </w:pPr>
      <w:r w:rsidRPr="00C40B5B">
        <w:rPr>
          <w:b/>
        </w:rPr>
        <w:t xml:space="preserve">HRAP </w:t>
      </w:r>
      <w:r w:rsidRPr="00C40B5B">
        <w:t>- Human Rights Advisory Panel</w:t>
      </w:r>
    </w:p>
    <w:p w:rsidR="00F52A7B" w:rsidRPr="00C40B5B" w:rsidRDefault="00F52A7B" w:rsidP="00F52A7B">
      <w:pPr>
        <w:autoSpaceDE w:val="0"/>
        <w:jc w:val="both"/>
      </w:pPr>
      <w:r w:rsidRPr="00C40B5B">
        <w:rPr>
          <w:b/>
        </w:rPr>
        <w:t>HRC</w:t>
      </w:r>
      <w:r w:rsidR="009E5B51" w:rsidRPr="00C40B5B">
        <w:t xml:space="preserve"> -</w:t>
      </w:r>
      <w:r w:rsidRPr="00C40B5B">
        <w:t xml:space="preserve"> United Nation Human Rights Committee</w:t>
      </w:r>
    </w:p>
    <w:p w:rsidR="00316A34" w:rsidRPr="00C40B5B" w:rsidRDefault="00316A34" w:rsidP="00F52A7B">
      <w:pPr>
        <w:autoSpaceDE w:val="0"/>
        <w:jc w:val="both"/>
      </w:pPr>
      <w:r w:rsidRPr="00C40B5B">
        <w:rPr>
          <w:b/>
        </w:rPr>
        <w:t xml:space="preserve">HQ </w:t>
      </w:r>
      <w:r w:rsidRPr="00C40B5B">
        <w:t>- Headquarters</w:t>
      </w:r>
    </w:p>
    <w:p w:rsidR="00F52A7B" w:rsidRPr="00C40B5B" w:rsidRDefault="00F52A7B" w:rsidP="00F52A7B">
      <w:pPr>
        <w:autoSpaceDE w:val="0"/>
        <w:jc w:val="both"/>
      </w:pPr>
      <w:r w:rsidRPr="00C40B5B">
        <w:rPr>
          <w:b/>
        </w:rPr>
        <w:t xml:space="preserve">IACtHR </w:t>
      </w:r>
      <w:r w:rsidRPr="00C40B5B">
        <w:t>– Inter-American Court of Human Rights</w:t>
      </w:r>
    </w:p>
    <w:p w:rsidR="00F52A7B" w:rsidRPr="00C40B5B" w:rsidRDefault="00F52A7B" w:rsidP="00F52A7B">
      <w:pPr>
        <w:autoSpaceDE w:val="0"/>
        <w:jc w:val="both"/>
      </w:pPr>
      <w:r w:rsidRPr="00C40B5B">
        <w:rPr>
          <w:b/>
        </w:rPr>
        <w:t>ICMP</w:t>
      </w:r>
      <w:r w:rsidRPr="00C40B5B">
        <w:t xml:space="preserve"> - International Commission of Missing Persons</w:t>
      </w:r>
    </w:p>
    <w:p w:rsidR="00F52A7B" w:rsidRPr="00C40B5B" w:rsidRDefault="00F52A7B" w:rsidP="00F52A7B">
      <w:pPr>
        <w:autoSpaceDE w:val="0"/>
        <w:jc w:val="both"/>
      </w:pPr>
      <w:r w:rsidRPr="00C40B5B">
        <w:rPr>
          <w:b/>
        </w:rPr>
        <w:t>ICRC</w:t>
      </w:r>
      <w:r w:rsidRPr="00C40B5B">
        <w:t xml:space="preserve"> - International Committee of the Red Cross</w:t>
      </w:r>
    </w:p>
    <w:p w:rsidR="00F52A7B" w:rsidRPr="00C40B5B" w:rsidRDefault="00F52A7B" w:rsidP="00F52A7B">
      <w:pPr>
        <w:autoSpaceDE w:val="0"/>
        <w:jc w:val="both"/>
      </w:pPr>
      <w:r w:rsidRPr="00C40B5B">
        <w:rPr>
          <w:b/>
        </w:rPr>
        <w:t xml:space="preserve">ICTY </w:t>
      </w:r>
      <w:r w:rsidRPr="00C40B5B">
        <w:t>- International Criminal Tribunal for former Yugoslavia</w:t>
      </w:r>
    </w:p>
    <w:p w:rsidR="00F52A7B" w:rsidRPr="00C40B5B" w:rsidRDefault="00F52A7B" w:rsidP="00F52A7B">
      <w:pPr>
        <w:autoSpaceDE w:val="0"/>
        <w:jc w:val="both"/>
      </w:pPr>
      <w:r w:rsidRPr="00C40B5B">
        <w:rPr>
          <w:b/>
        </w:rPr>
        <w:t>KFOR</w:t>
      </w:r>
      <w:r w:rsidRPr="00C40B5B">
        <w:t xml:space="preserve"> - International Security Force (commonly known as Kosovo Force)</w:t>
      </w:r>
    </w:p>
    <w:p w:rsidR="00F52A7B" w:rsidRPr="00C40B5B" w:rsidRDefault="00F52A7B" w:rsidP="00F52A7B">
      <w:pPr>
        <w:autoSpaceDE w:val="0"/>
        <w:jc w:val="both"/>
      </w:pPr>
      <w:r w:rsidRPr="00C40B5B">
        <w:rPr>
          <w:b/>
        </w:rPr>
        <w:t>KLA</w:t>
      </w:r>
      <w:r w:rsidRPr="00C40B5B">
        <w:t xml:space="preserve"> - Kosovo Liberation Army</w:t>
      </w:r>
    </w:p>
    <w:p w:rsidR="00D85D43" w:rsidRPr="00C40B5B" w:rsidRDefault="00D85D43" w:rsidP="00F52A7B">
      <w:pPr>
        <w:autoSpaceDE w:val="0"/>
        <w:jc w:val="both"/>
      </w:pPr>
      <w:r w:rsidRPr="00C40B5B">
        <w:rPr>
          <w:b/>
        </w:rPr>
        <w:t>KVM</w:t>
      </w:r>
      <w:r w:rsidRPr="00C40B5B">
        <w:t xml:space="preserve"> – OSCE Kosovo Verification Mission</w:t>
      </w:r>
    </w:p>
    <w:p w:rsidR="00F52A7B" w:rsidRPr="00C40B5B" w:rsidRDefault="00F52A7B" w:rsidP="00F52A7B">
      <w:pPr>
        <w:autoSpaceDE w:val="0"/>
        <w:jc w:val="both"/>
      </w:pPr>
      <w:r w:rsidRPr="00C40B5B">
        <w:rPr>
          <w:b/>
        </w:rPr>
        <w:t xml:space="preserve">MPU </w:t>
      </w:r>
      <w:r w:rsidRPr="00C40B5B">
        <w:t>- Missing Persons Unit</w:t>
      </w:r>
    </w:p>
    <w:p w:rsidR="001A7B85" w:rsidRPr="00C40B5B" w:rsidRDefault="001A7B85" w:rsidP="00F52A7B">
      <w:pPr>
        <w:autoSpaceDE w:val="0"/>
        <w:jc w:val="both"/>
      </w:pPr>
      <w:r w:rsidRPr="00C40B5B">
        <w:rPr>
          <w:b/>
        </w:rPr>
        <w:t xml:space="preserve">MUP </w:t>
      </w:r>
      <w:r w:rsidRPr="00C40B5B">
        <w:t>- Ministry of Internal Affairs of the Republic of Serbia</w:t>
      </w:r>
    </w:p>
    <w:p w:rsidR="00F52A7B" w:rsidRPr="00C40B5B" w:rsidRDefault="00F52A7B" w:rsidP="00F52A7B">
      <w:pPr>
        <w:autoSpaceDE w:val="0"/>
        <w:jc w:val="both"/>
      </w:pPr>
      <w:r w:rsidRPr="00C40B5B">
        <w:rPr>
          <w:b/>
        </w:rPr>
        <w:t>NATO</w:t>
      </w:r>
      <w:r w:rsidRPr="00C40B5B">
        <w:t xml:space="preserve"> - North Atlantic Treaty Organization </w:t>
      </w:r>
    </w:p>
    <w:p w:rsidR="00F52A7B" w:rsidRPr="00C40B5B" w:rsidRDefault="00F52A7B" w:rsidP="00F52A7B">
      <w:pPr>
        <w:autoSpaceDE w:val="0"/>
        <w:jc w:val="both"/>
      </w:pPr>
      <w:r w:rsidRPr="00C40B5B">
        <w:rPr>
          <w:b/>
        </w:rPr>
        <w:t>OMPF</w:t>
      </w:r>
      <w:r w:rsidRPr="00C40B5B">
        <w:t xml:space="preserve"> - Office on Missing Persons and Forensics</w:t>
      </w:r>
    </w:p>
    <w:p w:rsidR="00F52A7B" w:rsidRPr="00C40B5B" w:rsidRDefault="00F52A7B" w:rsidP="00F52A7B">
      <w:pPr>
        <w:autoSpaceDE w:val="0"/>
        <w:jc w:val="both"/>
      </w:pPr>
      <w:r w:rsidRPr="00C40B5B">
        <w:rPr>
          <w:b/>
        </w:rPr>
        <w:t>OSCE</w:t>
      </w:r>
      <w:r w:rsidRPr="00C40B5B">
        <w:t xml:space="preserve"> - Organization for Security and Cooperation in Europe</w:t>
      </w:r>
    </w:p>
    <w:p w:rsidR="00F52A7B" w:rsidRPr="00C40B5B" w:rsidRDefault="00F52A7B" w:rsidP="00F52A7B">
      <w:pPr>
        <w:autoSpaceDE w:val="0"/>
        <w:jc w:val="both"/>
      </w:pPr>
      <w:r w:rsidRPr="00C40B5B">
        <w:rPr>
          <w:b/>
        </w:rPr>
        <w:t>SRSG</w:t>
      </w:r>
      <w:r w:rsidRPr="00C40B5B">
        <w:t xml:space="preserve"> - Special Representative of the Secretary-General </w:t>
      </w:r>
    </w:p>
    <w:p w:rsidR="00F52A7B" w:rsidRPr="00C40B5B" w:rsidRDefault="00F52A7B" w:rsidP="00F52A7B">
      <w:pPr>
        <w:autoSpaceDE w:val="0"/>
        <w:jc w:val="both"/>
      </w:pPr>
      <w:r w:rsidRPr="00C40B5B">
        <w:rPr>
          <w:b/>
        </w:rPr>
        <w:t>UN</w:t>
      </w:r>
      <w:r w:rsidRPr="00C40B5B">
        <w:t xml:space="preserve"> - United Nations</w:t>
      </w:r>
    </w:p>
    <w:p w:rsidR="00F52A7B" w:rsidRPr="00C40B5B" w:rsidRDefault="00F52A7B" w:rsidP="00F52A7B">
      <w:pPr>
        <w:autoSpaceDE w:val="0"/>
        <w:jc w:val="both"/>
      </w:pPr>
      <w:r w:rsidRPr="00C40B5B">
        <w:rPr>
          <w:b/>
        </w:rPr>
        <w:t xml:space="preserve">UNHCR </w:t>
      </w:r>
      <w:r w:rsidRPr="00C40B5B">
        <w:t>- United Nations High Commissioner for Refugees</w:t>
      </w:r>
    </w:p>
    <w:p w:rsidR="00F52A7B" w:rsidRPr="00C40B5B" w:rsidRDefault="00F52A7B" w:rsidP="00F52A7B">
      <w:pPr>
        <w:autoSpaceDE w:val="0"/>
        <w:jc w:val="both"/>
      </w:pPr>
      <w:r w:rsidRPr="00C40B5B">
        <w:rPr>
          <w:b/>
        </w:rPr>
        <w:t>UNMIK</w:t>
      </w:r>
      <w:r w:rsidRPr="00C40B5B">
        <w:t xml:space="preserve"> - United Nations Interim Administration Mission in Kosovo </w:t>
      </w:r>
    </w:p>
    <w:p w:rsidR="00F52A7B" w:rsidRPr="00C40B5B" w:rsidRDefault="00F52A7B" w:rsidP="00F52A7B">
      <w:pPr>
        <w:autoSpaceDE w:val="0"/>
        <w:jc w:val="both"/>
      </w:pPr>
      <w:r w:rsidRPr="00C40B5B">
        <w:rPr>
          <w:b/>
        </w:rPr>
        <w:t>VRIC</w:t>
      </w:r>
      <w:r w:rsidRPr="00C40B5B">
        <w:t xml:space="preserve"> - Victim Recovery and Identification Commission</w:t>
      </w:r>
    </w:p>
    <w:p w:rsidR="00546DB5" w:rsidRPr="001F7985" w:rsidRDefault="00F52A7B">
      <w:pPr>
        <w:autoSpaceDE w:val="0"/>
        <w:jc w:val="both"/>
      </w:pPr>
      <w:r w:rsidRPr="00C40B5B">
        <w:rPr>
          <w:b/>
        </w:rPr>
        <w:t xml:space="preserve">WCIU </w:t>
      </w:r>
      <w:r w:rsidRPr="00C40B5B">
        <w:t>- War Crimes Investigation Unit</w:t>
      </w:r>
    </w:p>
    <w:sectPr w:rsidR="00546DB5" w:rsidRPr="001F7985" w:rsidSect="00145333">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54" w:rsidRDefault="00721454">
      <w:r>
        <w:separator/>
      </w:r>
    </w:p>
  </w:endnote>
  <w:endnote w:type="continuationSeparator" w:id="0">
    <w:p w:rsidR="00721454" w:rsidRDefault="0072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54" w:rsidRDefault="00721454">
      <w:r>
        <w:separator/>
      </w:r>
    </w:p>
  </w:footnote>
  <w:footnote w:type="continuationSeparator" w:id="0">
    <w:p w:rsidR="00721454" w:rsidRDefault="00721454">
      <w:r>
        <w:continuationSeparator/>
      </w:r>
    </w:p>
  </w:footnote>
  <w:footnote w:id="1">
    <w:p w:rsidR="000F5160" w:rsidRPr="00651093" w:rsidRDefault="000F5160" w:rsidP="00820F3A">
      <w:pPr>
        <w:pStyle w:val="FootnoteText"/>
        <w:rPr>
          <w:rFonts w:ascii="Times New Roman" w:hAnsi="Times New Roman"/>
          <w:sz w:val="20"/>
          <w:lang w:val="en-US"/>
        </w:rPr>
      </w:pPr>
      <w:r w:rsidRPr="00651093">
        <w:rPr>
          <w:rStyle w:val="FootnoteReference"/>
          <w:rFonts w:ascii="Times New Roman" w:hAnsi="Times New Roman"/>
          <w:sz w:val="20"/>
        </w:rPr>
        <w:footnoteRef/>
      </w:r>
      <w:r w:rsidR="00651093" w:rsidRPr="00651093">
        <w:rPr>
          <w:rFonts w:ascii="Times New Roman" w:hAnsi="Times New Roman"/>
          <w:sz w:val="20"/>
        </w:rPr>
        <w:t xml:space="preserve"> </w:t>
      </w:r>
      <w:r w:rsidRPr="00651093">
        <w:rPr>
          <w:rFonts w:ascii="Times New Roman" w:hAnsi="Times New Roman"/>
          <w:sz w:val="20"/>
        </w:rPr>
        <w:t>A list of abbreviations and acronyms contained in the text can be found in the attached Annex.</w:t>
      </w:r>
    </w:p>
  </w:footnote>
  <w:footnote w:id="2">
    <w:p w:rsidR="000F5160" w:rsidRPr="00DA0F48" w:rsidRDefault="000F5160" w:rsidP="00820F3A">
      <w:pPr>
        <w:pStyle w:val="FootnoteText"/>
        <w:jc w:val="both"/>
        <w:rPr>
          <w:rFonts w:ascii="Times New Roman" w:hAnsi="Times New Roman"/>
          <w:sz w:val="18"/>
          <w:szCs w:val="18"/>
        </w:rPr>
      </w:pPr>
      <w:r w:rsidRPr="00651093">
        <w:rPr>
          <w:rStyle w:val="FootnoteReference"/>
          <w:rFonts w:ascii="Times New Roman" w:hAnsi="Times New Roman"/>
          <w:sz w:val="20"/>
        </w:rPr>
        <w:footnoteRef/>
      </w:r>
      <w:r w:rsidR="00651093" w:rsidRPr="00651093">
        <w:rPr>
          <w:rFonts w:ascii="Times New Roman" w:hAnsi="Times New Roman"/>
          <w:sz w:val="20"/>
        </w:rPr>
        <w:t xml:space="preserve"> </w:t>
      </w:r>
      <w:r w:rsidRPr="00651093">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51093">
        <w:rPr>
          <w:rFonts w:ascii="Times New Roman" w:hAnsi="Times New Roman"/>
          <w:i/>
          <w:sz w:val="20"/>
        </w:rPr>
        <w:t xml:space="preserve"> </w:t>
      </w:r>
      <w:proofErr w:type="spellStart"/>
      <w:r w:rsidRPr="00651093">
        <w:rPr>
          <w:rFonts w:ascii="Times New Roman" w:hAnsi="Times New Roman"/>
          <w:i/>
          <w:sz w:val="20"/>
        </w:rPr>
        <w:t>Behrami</w:t>
      </w:r>
      <w:proofErr w:type="spellEnd"/>
      <w:r w:rsidRPr="00651093">
        <w:rPr>
          <w:rFonts w:ascii="Times New Roman" w:hAnsi="Times New Roman"/>
          <w:i/>
          <w:sz w:val="20"/>
        </w:rPr>
        <w:t xml:space="preserve"> and </w:t>
      </w:r>
      <w:proofErr w:type="spellStart"/>
      <w:r w:rsidRPr="00651093">
        <w:rPr>
          <w:rFonts w:ascii="Times New Roman" w:hAnsi="Times New Roman"/>
          <w:i/>
          <w:sz w:val="20"/>
        </w:rPr>
        <w:t>Behrami</w:t>
      </w:r>
      <w:proofErr w:type="spellEnd"/>
      <w:r w:rsidRPr="00651093">
        <w:rPr>
          <w:rFonts w:ascii="Times New Roman" w:hAnsi="Times New Roman"/>
          <w:i/>
          <w:sz w:val="20"/>
        </w:rPr>
        <w:t xml:space="preserve"> v. France</w:t>
      </w:r>
      <w:r w:rsidRPr="00651093">
        <w:rPr>
          <w:rFonts w:ascii="Times New Roman" w:hAnsi="Times New Roman"/>
          <w:sz w:val="20"/>
        </w:rPr>
        <w:t xml:space="preserve"> and </w:t>
      </w:r>
      <w:proofErr w:type="spellStart"/>
      <w:r w:rsidRPr="00651093">
        <w:rPr>
          <w:rFonts w:ascii="Times New Roman" w:hAnsi="Times New Roman"/>
          <w:i/>
          <w:sz w:val="20"/>
        </w:rPr>
        <w:t>Saramati</w:t>
      </w:r>
      <w:proofErr w:type="spellEnd"/>
      <w:r w:rsidRPr="00651093">
        <w:rPr>
          <w:rFonts w:ascii="Times New Roman" w:hAnsi="Times New Roman"/>
          <w:i/>
          <w:sz w:val="20"/>
        </w:rPr>
        <w:t xml:space="preserve"> v. France, Germany and Norway</w:t>
      </w:r>
      <w:r w:rsidRPr="00651093">
        <w:rPr>
          <w:rFonts w:ascii="Times New Roman" w:hAnsi="Times New Roman"/>
          <w:sz w:val="20"/>
        </w:rPr>
        <w:t xml:space="preserve">, nos. </w:t>
      </w:r>
      <w:r w:rsidRPr="00651093">
        <w:rPr>
          <w:rStyle w:val="sb8d990e2"/>
          <w:rFonts w:ascii="Times New Roman" w:hAnsi="Times New Roman"/>
          <w:sz w:val="20"/>
        </w:rPr>
        <w:t>71412/01 and</w:t>
      </w:r>
      <w:r w:rsidRPr="00651093">
        <w:rPr>
          <w:rFonts w:ascii="Times New Roman" w:hAnsi="Times New Roman"/>
          <w:sz w:val="20"/>
        </w:rPr>
        <w:t xml:space="preserve"> </w:t>
      </w:r>
      <w:r w:rsidRPr="00651093">
        <w:rPr>
          <w:rStyle w:val="sb8d990e2"/>
          <w:rFonts w:ascii="Times New Roman" w:hAnsi="Times New Roman"/>
          <w:sz w:val="20"/>
        </w:rPr>
        <w:t xml:space="preserve">78166/01, </w:t>
      </w:r>
      <w:r w:rsidRPr="00651093">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651093">
          <w:rPr>
            <w:rStyle w:val="Hyperlink"/>
            <w:rFonts w:ascii="Times New Roman" w:hAnsi="Times New Roman"/>
            <w:color w:val="auto"/>
            <w:sz w:val="20"/>
          </w:rPr>
          <w:t>www.unhchr.org</w:t>
        </w:r>
      </w:hyperlink>
      <w:r w:rsidRPr="00651093">
        <w:rPr>
          <w:rFonts w:ascii="Times New Roman" w:hAnsi="Times New Roman"/>
          <w:sz w:val="20"/>
        </w:rPr>
        <w:t xml:space="preserve">) and by the International Committee of the Red Cross (available at </w:t>
      </w:r>
      <w:hyperlink r:id="rId2" w:history="1">
        <w:r w:rsidRPr="00651093">
          <w:rPr>
            <w:rStyle w:val="Hyperlink"/>
            <w:rFonts w:ascii="Times New Roman" w:hAnsi="Times New Roman"/>
            <w:color w:val="auto"/>
            <w:sz w:val="20"/>
          </w:rPr>
          <w:t>http://familylinks.icrc.org/kosovo/en</w:t>
        </w:r>
      </w:hyperlink>
      <w:r w:rsidRPr="00651093">
        <w:rPr>
          <w:rFonts w:ascii="Times New Roman" w:hAnsi="Times New Roman"/>
          <w:sz w:val="20"/>
        </w:rPr>
        <w:t>).</w:t>
      </w:r>
    </w:p>
  </w:footnote>
  <w:footnote w:id="3">
    <w:p w:rsidR="000F5160" w:rsidRPr="00651093" w:rsidRDefault="000F5160" w:rsidP="005D7C33">
      <w:pPr>
        <w:pStyle w:val="FootnoteText"/>
        <w:jc w:val="both"/>
        <w:rPr>
          <w:rFonts w:ascii="Times New Roman" w:hAnsi="Times New Roman"/>
          <w:sz w:val="20"/>
          <w:lang w:val="en-US"/>
        </w:rPr>
      </w:pPr>
      <w:r w:rsidRPr="00651093">
        <w:rPr>
          <w:rStyle w:val="FootnoteReference"/>
          <w:rFonts w:ascii="Times New Roman" w:hAnsi="Times New Roman"/>
          <w:sz w:val="20"/>
        </w:rPr>
        <w:footnoteRef/>
      </w:r>
      <w:r w:rsidR="00651093">
        <w:rPr>
          <w:rFonts w:ascii="Times New Roman" w:hAnsi="Times New Roman"/>
          <w:sz w:val="20"/>
        </w:rPr>
        <w:t xml:space="preserve"> </w:t>
      </w:r>
      <w:r w:rsidRPr="00651093">
        <w:rPr>
          <w:rFonts w:ascii="Times New Roman" w:hAnsi="Times New Roman"/>
          <w:sz w:val="20"/>
        </w:rPr>
        <w:t xml:space="preserve">The OMPF database is not open to public. The Panel accessed it with regard to this case on </w:t>
      </w:r>
      <w:r w:rsidR="00D524D4" w:rsidRPr="00651093">
        <w:rPr>
          <w:rFonts w:ascii="Times New Roman" w:hAnsi="Times New Roman"/>
          <w:sz w:val="20"/>
        </w:rPr>
        <w:t>09 September</w:t>
      </w:r>
      <w:r w:rsidRPr="00651093">
        <w:rPr>
          <w:rFonts w:ascii="Times New Roman" w:hAnsi="Times New Roman"/>
          <w:sz w:val="20"/>
        </w:rPr>
        <w:t xml:space="preserve"> 2014.</w:t>
      </w:r>
    </w:p>
  </w:footnote>
  <w:footnote w:id="4">
    <w:p w:rsidR="000F5160" w:rsidRPr="00DA0F48" w:rsidRDefault="000F5160" w:rsidP="005D7C33">
      <w:pPr>
        <w:pStyle w:val="FootnoteText"/>
        <w:jc w:val="both"/>
        <w:rPr>
          <w:rFonts w:ascii="Times New Roman" w:hAnsi="Times New Roman"/>
          <w:sz w:val="18"/>
          <w:szCs w:val="18"/>
        </w:rPr>
      </w:pPr>
      <w:r w:rsidRPr="00651093">
        <w:rPr>
          <w:rStyle w:val="FootnoteReference"/>
          <w:rFonts w:ascii="Times New Roman" w:hAnsi="Times New Roman"/>
          <w:sz w:val="20"/>
        </w:rPr>
        <w:footnoteRef/>
      </w:r>
      <w:r w:rsidR="00651093">
        <w:rPr>
          <w:rFonts w:ascii="Times New Roman" w:hAnsi="Times New Roman"/>
          <w:sz w:val="20"/>
        </w:rPr>
        <w:t xml:space="preserve"> </w:t>
      </w:r>
      <w:r w:rsidRPr="00651093">
        <w:rPr>
          <w:rFonts w:ascii="Times New Roman" w:hAnsi="Times New Roman"/>
          <w:sz w:val="20"/>
        </w:rPr>
        <w:t xml:space="preserve">The ICMP database is available at:  </w:t>
      </w:r>
      <w:hyperlink r:id="rId3" w:history="1">
        <w:r w:rsidRPr="00651093">
          <w:rPr>
            <w:rStyle w:val="Hyperlink"/>
            <w:rFonts w:ascii="Times New Roman" w:hAnsi="Times New Roman"/>
            <w:color w:val="auto"/>
            <w:sz w:val="20"/>
          </w:rPr>
          <w:t>http://www.ic-mp.org/fdmsweb/index.php?w=mp_details&amp;l=en</w:t>
        </w:r>
      </w:hyperlink>
      <w:r w:rsidRPr="00651093">
        <w:rPr>
          <w:rFonts w:ascii="Times New Roman" w:hAnsi="Times New Roman"/>
          <w:sz w:val="20"/>
        </w:rPr>
        <w:t xml:space="preserve"> (accessed on </w:t>
      </w:r>
      <w:r w:rsidR="00D524D4" w:rsidRPr="00651093">
        <w:rPr>
          <w:rFonts w:ascii="Times New Roman" w:hAnsi="Times New Roman"/>
          <w:sz w:val="20"/>
        </w:rPr>
        <w:t>09 September</w:t>
      </w:r>
      <w:r w:rsidRPr="00651093">
        <w:rPr>
          <w:rFonts w:ascii="Times New Roman" w:hAnsi="Times New Roman"/>
          <w:sz w:val="20"/>
        </w:rPr>
        <w:t xml:space="preserve"> 2014).</w:t>
      </w:r>
    </w:p>
  </w:footnote>
  <w:footnote w:id="5">
    <w:p w:rsidR="008C3B30" w:rsidRPr="00027DA9" w:rsidRDefault="008C3B30" w:rsidP="008C3B30">
      <w:pPr>
        <w:pStyle w:val="FootnoteText"/>
        <w:rPr>
          <w:rFonts w:ascii="Times New Roman" w:hAnsi="Times New Roman"/>
          <w:sz w:val="20"/>
          <w:lang w:val="en-US"/>
        </w:rPr>
      </w:pPr>
      <w:r w:rsidRPr="00027DA9">
        <w:rPr>
          <w:rStyle w:val="FootnoteReference"/>
          <w:rFonts w:ascii="Times New Roman" w:hAnsi="Times New Roman"/>
          <w:sz w:val="20"/>
        </w:rPr>
        <w:footnoteRef/>
      </w:r>
      <w:r w:rsidRPr="00027DA9">
        <w:rPr>
          <w:rFonts w:ascii="Times New Roman" w:hAnsi="Times New Roman"/>
          <w:sz w:val="20"/>
        </w:rPr>
        <w:t xml:space="preserve"> </w:t>
      </w:r>
      <w:r w:rsidRPr="00027DA9">
        <w:rPr>
          <w:rFonts w:ascii="Times New Roman" w:hAnsi="Times New Roman"/>
          <w:sz w:val="20"/>
          <w:lang w:val="en-US"/>
        </w:rPr>
        <w:t>The SRSG reported to HRAP that “ICTY reports that it exhumed 4019 bodies in 1999 and 2000, less than half of which were identified; furthermore, some of the unidentified bodies exhumed in 1999 by gratis teams were reburied in locations still unknown to OMPF.”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60" w:rsidRPr="000722CE" w:rsidRDefault="000F516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3859F7">
      <w:rPr>
        <w:noProof/>
        <w:sz w:val="20"/>
        <w:szCs w:val="20"/>
      </w:rPr>
      <w:t>27</w:t>
    </w:r>
    <w:r w:rsidRPr="000722CE">
      <w:rPr>
        <w:sz w:val="20"/>
        <w:szCs w:val="20"/>
      </w:rPr>
      <w:fldChar w:fldCharType="end"/>
    </w:r>
  </w:p>
  <w:p w:rsidR="000F5160" w:rsidRDefault="000F5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25F"/>
    <w:multiLevelType w:val="hybridMultilevel"/>
    <w:tmpl w:val="5F746D02"/>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83272"/>
    <w:multiLevelType w:val="hybridMultilevel"/>
    <w:tmpl w:val="B5BC85A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43B6291A"/>
    <w:lvl w:ilvl="0" w:tplc="500A05A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89002D"/>
    <w:multiLevelType w:val="hybridMultilevel"/>
    <w:tmpl w:val="9126EC8E"/>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72072C"/>
    <w:multiLevelType w:val="multilevel"/>
    <w:tmpl w:val="CCAC97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A000E"/>
    <w:multiLevelType w:val="hybridMultilevel"/>
    <w:tmpl w:val="FFA04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A3CF5"/>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7AD1627"/>
    <w:multiLevelType w:val="hybridMultilevel"/>
    <w:tmpl w:val="786E83A8"/>
    <w:lvl w:ilvl="0" w:tplc="A9F22E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9039FF"/>
    <w:multiLevelType w:val="hybridMultilevel"/>
    <w:tmpl w:val="869696E4"/>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7"/>
  </w:num>
  <w:num w:numId="5">
    <w:abstractNumId w:val="12"/>
  </w:num>
  <w:num w:numId="6">
    <w:abstractNumId w:val="3"/>
  </w:num>
  <w:num w:numId="7">
    <w:abstractNumId w:val="10"/>
  </w:num>
  <w:num w:numId="8">
    <w:abstractNumId w:val="5"/>
  </w:num>
  <w:num w:numId="9">
    <w:abstractNumId w:val="4"/>
  </w:num>
  <w:num w:numId="10">
    <w:abstractNumId w:val="1"/>
  </w:num>
  <w:num w:numId="11">
    <w:abstractNumId w:val="2"/>
  </w:num>
  <w:num w:numId="12">
    <w:abstractNumId w:val="1"/>
  </w:num>
  <w:num w:numId="13">
    <w:abstractNumId w:val="13"/>
  </w:num>
  <w:num w:numId="14">
    <w:abstractNumId w:val="9"/>
  </w:num>
  <w:num w:numId="15">
    <w:abstractNumId w:val="0"/>
  </w:num>
  <w:num w:numId="16">
    <w:abstractNumId w:val="14"/>
  </w:num>
  <w:num w:numId="17">
    <w:abstractNumId w:val="15"/>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25A"/>
    <w:rsid w:val="0001052E"/>
    <w:rsid w:val="00012BBB"/>
    <w:rsid w:val="0001588C"/>
    <w:rsid w:val="00015EAF"/>
    <w:rsid w:val="0002011C"/>
    <w:rsid w:val="000209DC"/>
    <w:rsid w:val="0002100F"/>
    <w:rsid w:val="00022E69"/>
    <w:rsid w:val="00025BD8"/>
    <w:rsid w:val="00025D67"/>
    <w:rsid w:val="00025DC5"/>
    <w:rsid w:val="00027DA9"/>
    <w:rsid w:val="000300C8"/>
    <w:rsid w:val="00032CA7"/>
    <w:rsid w:val="00033882"/>
    <w:rsid w:val="00033D6B"/>
    <w:rsid w:val="00035A70"/>
    <w:rsid w:val="00035BBB"/>
    <w:rsid w:val="00036C5F"/>
    <w:rsid w:val="000414AF"/>
    <w:rsid w:val="00042514"/>
    <w:rsid w:val="00042FDB"/>
    <w:rsid w:val="00044820"/>
    <w:rsid w:val="00044FA2"/>
    <w:rsid w:val="00046EBD"/>
    <w:rsid w:val="000477A5"/>
    <w:rsid w:val="000507C8"/>
    <w:rsid w:val="00050B85"/>
    <w:rsid w:val="00054459"/>
    <w:rsid w:val="000565C8"/>
    <w:rsid w:val="00056A25"/>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68D9"/>
    <w:rsid w:val="00077145"/>
    <w:rsid w:val="00077DE9"/>
    <w:rsid w:val="0008098F"/>
    <w:rsid w:val="0008099B"/>
    <w:rsid w:val="000817DC"/>
    <w:rsid w:val="00082345"/>
    <w:rsid w:val="00083E24"/>
    <w:rsid w:val="0008607F"/>
    <w:rsid w:val="00086415"/>
    <w:rsid w:val="0008757D"/>
    <w:rsid w:val="000875E1"/>
    <w:rsid w:val="00091C96"/>
    <w:rsid w:val="0009299E"/>
    <w:rsid w:val="0009345C"/>
    <w:rsid w:val="00094FA3"/>
    <w:rsid w:val="000958B3"/>
    <w:rsid w:val="000A1F42"/>
    <w:rsid w:val="000A21A8"/>
    <w:rsid w:val="000A233E"/>
    <w:rsid w:val="000A4208"/>
    <w:rsid w:val="000A49BC"/>
    <w:rsid w:val="000A4BD4"/>
    <w:rsid w:val="000A4C40"/>
    <w:rsid w:val="000A50F8"/>
    <w:rsid w:val="000A65EB"/>
    <w:rsid w:val="000A6E33"/>
    <w:rsid w:val="000A7439"/>
    <w:rsid w:val="000B133A"/>
    <w:rsid w:val="000B139B"/>
    <w:rsid w:val="000B46F6"/>
    <w:rsid w:val="000B51F2"/>
    <w:rsid w:val="000B5C31"/>
    <w:rsid w:val="000C425B"/>
    <w:rsid w:val="000C4BEE"/>
    <w:rsid w:val="000C7592"/>
    <w:rsid w:val="000C7B8E"/>
    <w:rsid w:val="000D0543"/>
    <w:rsid w:val="000D0693"/>
    <w:rsid w:val="000D1606"/>
    <w:rsid w:val="000D362F"/>
    <w:rsid w:val="000D46DF"/>
    <w:rsid w:val="000D579F"/>
    <w:rsid w:val="000D59E7"/>
    <w:rsid w:val="000D5BCF"/>
    <w:rsid w:val="000E0984"/>
    <w:rsid w:val="000E12A4"/>
    <w:rsid w:val="000E23B6"/>
    <w:rsid w:val="000E2956"/>
    <w:rsid w:val="000E2A2A"/>
    <w:rsid w:val="000E4F11"/>
    <w:rsid w:val="000E59FE"/>
    <w:rsid w:val="000F0C8F"/>
    <w:rsid w:val="000F1240"/>
    <w:rsid w:val="000F2772"/>
    <w:rsid w:val="000F475D"/>
    <w:rsid w:val="000F50A9"/>
    <w:rsid w:val="000F5160"/>
    <w:rsid w:val="000F5F92"/>
    <w:rsid w:val="000F6E16"/>
    <w:rsid w:val="000F7BEF"/>
    <w:rsid w:val="000F7E70"/>
    <w:rsid w:val="00100111"/>
    <w:rsid w:val="001003BC"/>
    <w:rsid w:val="0010071F"/>
    <w:rsid w:val="001012E6"/>
    <w:rsid w:val="001013E5"/>
    <w:rsid w:val="001018B0"/>
    <w:rsid w:val="00102BB7"/>
    <w:rsid w:val="00103F69"/>
    <w:rsid w:val="00106865"/>
    <w:rsid w:val="00107C24"/>
    <w:rsid w:val="00111B60"/>
    <w:rsid w:val="00112081"/>
    <w:rsid w:val="00112756"/>
    <w:rsid w:val="00112F78"/>
    <w:rsid w:val="001132C3"/>
    <w:rsid w:val="00113503"/>
    <w:rsid w:val="00114786"/>
    <w:rsid w:val="0011549D"/>
    <w:rsid w:val="001155AC"/>
    <w:rsid w:val="00115F02"/>
    <w:rsid w:val="00117054"/>
    <w:rsid w:val="00121E9E"/>
    <w:rsid w:val="00122DFB"/>
    <w:rsid w:val="00123618"/>
    <w:rsid w:val="00123F99"/>
    <w:rsid w:val="00124B43"/>
    <w:rsid w:val="00124C66"/>
    <w:rsid w:val="001279D7"/>
    <w:rsid w:val="001307C4"/>
    <w:rsid w:val="00132A3A"/>
    <w:rsid w:val="00133592"/>
    <w:rsid w:val="001341C0"/>
    <w:rsid w:val="001350FB"/>
    <w:rsid w:val="001403C2"/>
    <w:rsid w:val="00140481"/>
    <w:rsid w:val="0014048A"/>
    <w:rsid w:val="0014335B"/>
    <w:rsid w:val="001449C9"/>
    <w:rsid w:val="00145333"/>
    <w:rsid w:val="0014568C"/>
    <w:rsid w:val="00145983"/>
    <w:rsid w:val="00150C84"/>
    <w:rsid w:val="001512A5"/>
    <w:rsid w:val="001512EA"/>
    <w:rsid w:val="0015169F"/>
    <w:rsid w:val="001530BE"/>
    <w:rsid w:val="00153694"/>
    <w:rsid w:val="00153F23"/>
    <w:rsid w:val="00154325"/>
    <w:rsid w:val="00154829"/>
    <w:rsid w:val="00154E5E"/>
    <w:rsid w:val="00160E65"/>
    <w:rsid w:val="0016135C"/>
    <w:rsid w:val="0016154E"/>
    <w:rsid w:val="001619D6"/>
    <w:rsid w:val="00162C3D"/>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424E"/>
    <w:rsid w:val="00184384"/>
    <w:rsid w:val="001852D9"/>
    <w:rsid w:val="00185CAB"/>
    <w:rsid w:val="00186B18"/>
    <w:rsid w:val="00190271"/>
    <w:rsid w:val="00192123"/>
    <w:rsid w:val="00193D1A"/>
    <w:rsid w:val="00194191"/>
    <w:rsid w:val="00194800"/>
    <w:rsid w:val="00194D93"/>
    <w:rsid w:val="00195ECC"/>
    <w:rsid w:val="00197979"/>
    <w:rsid w:val="001A0793"/>
    <w:rsid w:val="001A08B0"/>
    <w:rsid w:val="001A57F8"/>
    <w:rsid w:val="001A5F6B"/>
    <w:rsid w:val="001A6816"/>
    <w:rsid w:val="001A7B85"/>
    <w:rsid w:val="001B1325"/>
    <w:rsid w:val="001B155D"/>
    <w:rsid w:val="001B1A1A"/>
    <w:rsid w:val="001B241F"/>
    <w:rsid w:val="001B3E87"/>
    <w:rsid w:val="001B44B7"/>
    <w:rsid w:val="001B4620"/>
    <w:rsid w:val="001B4F35"/>
    <w:rsid w:val="001B6B46"/>
    <w:rsid w:val="001B7E46"/>
    <w:rsid w:val="001C0F0F"/>
    <w:rsid w:val="001C20FE"/>
    <w:rsid w:val="001C2229"/>
    <w:rsid w:val="001C238F"/>
    <w:rsid w:val="001C6555"/>
    <w:rsid w:val="001D1BE4"/>
    <w:rsid w:val="001D2C42"/>
    <w:rsid w:val="001D311B"/>
    <w:rsid w:val="001D3B8A"/>
    <w:rsid w:val="001D45F5"/>
    <w:rsid w:val="001D4A00"/>
    <w:rsid w:val="001D5261"/>
    <w:rsid w:val="001D5F2F"/>
    <w:rsid w:val="001D6CAC"/>
    <w:rsid w:val="001D73A9"/>
    <w:rsid w:val="001D7A5D"/>
    <w:rsid w:val="001E0730"/>
    <w:rsid w:val="001E0B67"/>
    <w:rsid w:val="001E0D8A"/>
    <w:rsid w:val="001E11FB"/>
    <w:rsid w:val="001E2639"/>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3C2"/>
    <w:rsid w:val="001F7985"/>
    <w:rsid w:val="00201CB5"/>
    <w:rsid w:val="00202598"/>
    <w:rsid w:val="00202F90"/>
    <w:rsid w:val="00203109"/>
    <w:rsid w:val="00203FF4"/>
    <w:rsid w:val="002074D2"/>
    <w:rsid w:val="00207662"/>
    <w:rsid w:val="00207EF6"/>
    <w:rsid w:val="002119C2"/>
    <w:rsid w:val="00211E05"/>
    <w:rsid w:val="002147F2"/>
    <w:rsid w:val="00215EA8"/>
    <w:rsid w:val="00222D2F"/>
    <w:rsid w:val="002235E4"/>
    <w:rsid w:val="00225BAB"/>
    <w:rsid w:val="002274C0"/>
    <w:rsid w:val="00231A61"/>
    <w:rsid w:val="00231EE6"/>
    <w:rsid w:val="0023308F"/>
    <w:rsid w:val="0023537F"/>
    <w:rsid w:val="002360DA"/>
    <w:rsid w:val="002361C0"/>
    <w:rsid w:val="00236A14"/>
    <w:rsid w:val="0024137B"/>
    <w:rsid w:val="002443C3"/>
    <w:rsid w:val="002473B8"/>
    <w:rsid w:val="00250C69"/>
    <w:rsid w:val="002524AF"/>
    <w:rsid w:val="00252B9E"/>
    <w:rsid w:val="0025303B"/>
    <w:rsid w:val="002539EF"/>
    <w:rsid w:val="0025400A"/>
    <w:rsid w:val="00255130"/>
    <w:rsid w:val="00260384"/>
    <w:rsid w:val="002624D6"/>
    <w:rsid w:val="00262624"/>
    <w:rsid w:val="00262A2F"/>
    <w:rsid w:val="00262B1E"/>
    <w:rsid w:val="00262B44"/>
    <w:rsid w:val="0026374C"/>
    <w:rsid w:val="00263C51"/>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6C0B"/>
    <w:rsid w:val="00296DF3"/>
    <w:rsid w:val="002A18D6"/>
    <w:rsid w:val="002A1DEC"/>
    <w:rsid w:val="002A29A6"/>
    <w:rsid w:val="002B171F"/>
    <w:rsid w:val="002B26D6"/>
    <w:rsid w:val="002B3F09"/>
    <w:rsid w:val="002B48E6"/>
    <w:rsid w:val="002B4F4E"/>
    <w:rsid w:val="002B520C"/>
    <w:rsid w:val="002B6427"/>
    <w:rsid w:val="002C03BD"/>
    <w:rsid w:val="002C0D0D"/>
    <w:rsid w:val="002C1C5F"/>
    <w:rsid w:val="002C2DB3"/>
    <w:rsid w:val="002C4906"/>
    <w:rsid w:val="002C568F"/>
    <w:rsid w:val="002C656A"/>
    <w:rsid w:val="002C6D03"/>
    <w:rsid w:val="002C786F"/>
    <w:rsid w:val="002D0AE4"/>
    <w:rsid w:val="002D180A"/>
    <w:rsid w:val="002D3DA0"/>
    <w:rsid w:val="002D4ED0"/>
    <w:rsid w:val="002D5DD4"/>
    <w:rsid w:val="002D6356"/>
    <w:rsid w:val="002E02C5"/>
    <w:rsid w:val="002E0AF3"/>
    <w:rsid w:val="002E1D26"/>
    <w:rsid w:val="002E2507"/>
    <w:rsid w:val="002F1033"/>
    <w:rsid w:val="002F2D96"/>
    <w:rsid w:val="002F42C3"/>
    <w:rsid w:val="002F46FC"/>
    <w:rsid w:val="002F65E3"/>
    <w:rsid w:val="00301DAC"/>
    <w:rsid w:val="00304848"/>
    <w:rsid w:val="00304D18"/>
    <w:rsid w:val="00310F91"/>
    <w:rsid w:val="00312441"/>
    <w:rsid w:val="00312456"/>
    <w:rsid w:val="00316A34"/>
    <w:rsid w:val="00316A49"/>
    <w:rsid w:val="0032173D"/>
    <w:rsid w:val="00321C03"/>
    <w:rsid w:val="00322780"/>
    <w:rsid w:val="00323223"/>
    <w:rsid w:val="00326663"/>
    <w:rsid w:val="003271F7"/>
    <w:rsid w:val="003306C0"/>
    <w:rsid w:val="00330F5D"/>
    <w:rsid w:val="00331C9B"/>
    <w:rsid w:val="003324DB"/>
    <w:rsid w:val="00332682"/>
    <w:rsid w:val="003337EF"/>
    <w:rsid w:val="00333CD6"/>
    <w:rsid w:val="00334B24"/>
    <w:rsid w:val="00337F92"/>
    <w:rsid w:val="003456E7"/>
    <w:rsid w:val="003461EF"/>
    <w:rsid w:val="00346381"/>
    <w:rsid w:val="003472C6"/>
    <w:rsid w:val="00347A90"/>
    <w:rsid w:val="00347B71"/>
    <w:rsid w:val="00350C81"/>
    <w:rsid w:val="00351024"/>
    <w:rsid w:val="00351324"/>
    <w:rsid w:val="00351429"/>
    <w:rsid w:val="0035305F"/>
    <w:rsid w:val="003541D2"/>
    <w:rsid w:val="00354676"/>
    <w:rsid w:val="0035559D"/>
    <w:rsid w:val="00355673"/>
    <w:rsid w:val="00355E4A"/>
    <w:rsid w:val="00356632"/>
    <w:rsid w:val="0035788B"/>
    <w:rsid w:val="003605F6"/>
    <w:rsid w:val="00361768"/>
    <w:rsid w:val="003618D3"/>
    <w:rsid w:val="00361BD4"/>
    <w:rsid w:val="00361F4D"/>
    <w:rsid w:val="003653FA"/>
    <w:rsid w:val="00366207"/>
    <w:rsid w:val="003700EB"/>
    <w:rsid w:val="00370271"/>
    <w:rsid w:val="00371F95"/>
    <w:rsid w:val="003725D1"/>
    <w:rsid w:val="00372A92"/>
    <w:rsid w:val="003733F1"/>
    <w:rsid w:val="0037385F"/>
    <w:rsid w:val="00373A43"/>
    <w:rsid w:val="00374546"/>
    <w:rsid w:val="0037514B"/>
    <w:rsid w:val="003778B8"/>
    <w:rsid w:val="00380A17"/>
    <w:rsid w:val="003837C8"/>
    <w:rsid w:val="003859F7"/>
    <w:rsid w:val="00385A0E"/>
    <w:rsid w:val="003905A1"/>
    <w:rsid w:val="00390AE0"/>
    <w:rsid w:val="003931B9"/>
    <w:rsid w:val="0039337A"/>
    <w:rsid w:val="003936AC"/>
    <w:rsid w:val="00393E8D"/>
    <w:rsid w:val="0039675C"/>
    <w:rsid w:val="003A0AF8"/>
    <w:rsid w:val="003A0C0C"/>
    <w:rsid w:val="003A2EBD"/>
    <w:rsid w:val="003A3EA5"/>
    <w:rsid w:val="003A3EAA"/>
    <w:rsid w:val="003A5B76"/>
    <w:rsid w:val="003A7B8B"/>
    <w:rsid w:val="003B0328"/>
    <w:rsid w:val="003B1C80"/>
    <w:rsid w:val="003B1F5E"/>
    <w:rsid w:val="003B2010"/>
    <w:rsid w:val="003B29DC"/>
    <w:rsid w:val="003B2E31"/>
    <w:rsid w:val="003B43F3"/>
    <w:rsid w:val="003B5FD2"/>
    <w:rsid w:val="003B7650"/>
    <w:rsid w:val="003C04A5"/>
    <w:rsid w:val="003C080C"/>
    <w:rsid w:val="003C1DDB"/>
    <w:rsid w:val="003C3BF4"/>
    <w:rsid w:val="003C5F4E"/>
    <w:rsid w:val="003C6352"/>
    <w:rsid w:val="003D1D0C"/>
    <w:rsid w:val="003D2EB6"/>
    <w:rsid w:val="003D5712"/>
    <w:rsid w:val="003D5866"/>
    <w:rsid w:val="003E15BD"/>
    <w:rsid w:val="003E3EC5"/>
    <w:rsid w:val="003E5FA6"/>
    <w:rsid w:val="003E64E0"/>
    <w:rsid w:val="003E74BC"/>
    <w:rsid w:val="003F0219"/>
    <w:rsid w:val="003F02F9"/>
    <w:rsid w:val="003F1FC4"/>
    <w:rsid w:val="003F3442"/>
    <w:rsid w:val="003F4D2F"/>
    <w:rsid w:val="003F53A4"/>
    <w:rsid w:val="003F54A4"/>
    <w:rsid w:val="003F5D1D"/>
    <w:rsid w:val="003F6AD6"/>
    <w:rsid w:val="003F7337"/>
    <w:rsid w:val="00400CED"/>
    <w:rsid w:val="00401FD2"/>
    <w:rsid w:val="00402699"/>
    <w:rsid w:val="00402B8F"/>
    <w:rsid w:val="004033CB"/>
    <w:rsid w:val="00405334"/>
    <w:rsid w:val="00405C17"/>
    <w:rsid w:val="0041262D"/>
    <w:rsid w:val="0041445A"/>
    <w:rsid w:val="00414BA2"/>
    <w:rsid w:val="00420088"/>
    <w:rsid w:val="004202B2"/>
    <w:rsid w:val="00422729"/>
    <w:rsid w:val="00422B73"/>
    <w:rsid w:val="0042549A"/>
    <w:rsid w:val="004269C2"/>
    <w:rsid w:val="00427A31"/>
    <w:rsid w:val="0043016C"/>
    <w:rsid w:val="00433154"/>
    <w:rsid w:val="0043400E"/>
    <w:rsid w:val="00434BB6"/>
    <w:rsid w:val="0043575D"/>
    <w:rsid w:val="0043640F"/>
    <w:rsid w:val="00440903"/>
    <w:rsid w:val="00440E88"/>
    <w:rsid w:val="0044246C"/>
    <w:rsid w:val="00443568"/>
    <w:rsid w:val="0044617E"/>
    <w:rsid w:val="004467F2"/>
    <w:rsid w:val="00451E17"/>
    <w:rsid w:val="00455594"/>
    <w:rsid w:val="00456871"/>
    <w:rsid w:val="0046539D"/>
    <w:rsid w:val="00466DCF"/>
    <w:rsid w:val="00466E32"/>
    <w:rsid w:val="004679D1"/>
    <w:rsid w:val="00470749"/>
    <w:rsid w:val="004714D9"/>
    <w:rsid w:val="00472580"/>
    <w:rsid w:val="00472DFF"/>
    <w:rsid w:val="00473041"/>
    <w:rsid w:val="00474109"/>
    <w:rsid w:val="004761ED"/>
    <w:rsid w:val="0047658A"/>
    <w:rsid w:val="00476D2E"/>
    <w:rsid w:val="004812CA"/>
    <w:rsid w:val="00482953"/>
    <w:rsid w:val="00485084"/>
    <w:rsid w:val="004865D9"/>
    <w:rsid w:val="00487961"/>
    <w:rsid w:val="004915E6"/>
    <w:rsid w:val="00491629"/>
    <w:rsid w:val="00491B79"/>
    <w:rsid w:val="004938F7"/>
    <w:rsid w:val="00494E3A"/>
    <w:rsid w:val="00495CD7"/>
    <w:rsid w:val="004961CD"/>
    <w:rsid w:val="004963EA"/>
    <w:rsid w:val="00496B7C"/>
    <w:rsid w:val="00497092"/>
    <w:rsid w:val="00497C0C"/>
    <w:rsid w:val="004A010F"/>
    <w:rsid w:val="004A04CF"/>
    <w:rsid w:val="004A1322"/>
    <w:rsid w:val="004A3362"/>
    <w:rsid w:val="004A4D35"/>
    <w:rsid w:val="004A4D91"/>
    <w:rsid w:val="004A5616"/>
    <w:rsid w:val="004B095F"/>
    <w:rsid w:val="004B394B"/>
    <w:rsid w:val="004B426D"/>
    <w:rsid w:val="004B5545"/>
    <w:rsid w:val="004B5E0A"/>
    <w:rsid w:val="004B627D"/>
    <w:rsid w:val="004B698B"/>
    <w:rsid w:val="004B7B66"/>
    <w:rsid w:val="004B7D5D"/>
    <w:rsid w:val="004C0211"/>
    <w:rsid w:val="004C104C"/>
    <w:rsid w:val="004C2709"/>
    <w:rsid w:val="004C541B"/>
    <w:rsid w:val="004C5ECD"/>
    <w:rsid w:val="004C5F53"/>
    <w:rsid w:val="004C6E8C"/>
    <w:rsid w:val="004C7167"/>
    <w:rsid w:val="004C78D2"/>
    <w:rsid w:val="004D13F9"/>
    <w:rsid w:val="004D1952"/>
    <w:rsid w:val="004D2F71"/>
    <w:rsid w:val="004D3536"/>
    <w:rsid w:val="004D4C22"/>
    <w:rsid w:val="004D4DDE"/>
    <w:rsid w:val="004D6157"/>
    <w:rsid w:val="004D6808"/>
    <w:rsid w:val="004E1F8C"/>
    <w:rsid w:val="004E415C"/>
    <w:rsid w:val="004E6657"/>
    <w:rsid w:val="004E7BB8"/>
    <w:rsid w:val="004F0CAB"/>
    <w:rsid w:val="004F2A97"/>
    <w:rsid w:val="004F308E"/>
    <w:rsid w:val="004F622A"/>
    <w:rsid w:val="004F71FD"/>
    <w:rsid w:val="004F77C7"/>
    <w:rsid w:val="005006CB"/>
    <w:rsid w:val="005009F9"/>
    <w:rsid w:val="00503BB3"/>
    <w:rsid w:val="00505C47"/>
    <w:rsid w:val="005077B1"/>
    <w:rsid w:val="00510BF8"/>
    <w:rsid w:val="005125E2"/>
    <w:rsid w:val="00512BF7"/>
    <w:rsid w:val="005135F8"/>
    <w:rsid w:val="00514229"/>
    <w:rsid w:val="00514F78"/>
    <w:rsid w:val="00516F75"/>
    <w:rsid w:val="00517C96"/>
    <w:rsid w:val="0052139E"/>
    <w:rsid w:val="00523386"/>
    <w:rsid w:val="00523C89"/>
    <w:rsid w:val="0052416C"/>
    <w:rsid w:val="005244D2"/>
    <w:rsid w:val="005257F4"/>
    <w:rsid w:val="005320BE"/>
    <w:rsid w:val="005332B2"/>
    <w:rsid w:val="0053341A"/>
    <w:rsid w:val="00534880"/>
    <w:rsid w:val="00535F04"/>
    <w:rsid w:val="00536F69"/>
    <w:rsid w:val="005376DF"/>
    <w:rsid w:val="00537784"/>
    <w:rsid w:val="005400F7"/>
    <w:rsid w:val="0054280D"/>
    <w:rsid w:val="005445C1"/>
    <w:rsid w:val="00544669"/>
    <w:rsid w:val="00544E5A"/>
    <w:rsid w:val="00545A64"/>
    <w:rsid w:val="00546DB5"/>
    <w:rsid w:val="00551A17"/>
    <w:rsid w:val="00552913"/>
    <w:rsid w:val="005532A0"/>
    <w:rsid w:val="00553535"/>
    <w:rsid w:val="005547B8"/>
    <w:rsid w:val="005551E0"/>
    <w:rsid w:val="005554FB"/>
    <w:rsid w:val="00555891"/>
    <w:rsid w:val="0055732C"/>
    <w:rsid w:val="00557F1B"/>
    <w:rsid w:val="00560510"/>
    <w:rsid w:val="00560566"/>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48E9"/>
    <w:rsid w:val="0057625F"/>
    <w:rsid w:val="00576B13"/>
    <w:rsid w:val="00576CC8"/>
    <w:rsid w:val="00577764"/>
    <w:rsid w:val="00577877"/>
    <w:rsid w:val="005802A4"/>
    <w:rsid w:val="00581378"/>
    <w:rsid w:val="0058249E"/>
    <w:rsid w:val="0058307C"/>
    <w:rsid w:val="00583604"/>
    <w:rsid w:val="005836D4"/>
    <w:rsid w:val="00584113"/>
    <w:rsid w:val="00584131"/>
    <w:rsid w:val="00587501"/>
    <w:rsid w:val="00590DAC"/>
    <w:rsid w:val="0059175C"/>
    <w:rsid w:val="005917EC"/>
    <w:rsid w:val="00591952"/>
    <w:rsid w:val="00594F5E"/>
    <w:rsid w:val="0059532D"/>
    <w:rsid w:val="00595E25"/>
    <w:rsid w:val="00596E66"/>
    <w:rsid w:val="005A1063"/>
    <w:rsid w:val="005A1E72"/>
    <w:rsid w:val="005A21F6"/>
    <w:rsid w:val="005A2D17"/>
    <w:rsid w:val="005A3CF1"/>
    <w:rsid w:val="005A4111"/>
    <w:rsid w:val="005A6546"/>
    <w:rsid w:val="005A6E82"/>
    <w:rsid w:val="005B0264"/>
    <w:rsid w:val="005B1893"/>
    <w:rsid w:val="005B5EAD"/>
    <w:rsid w:val="005B7C68"/>
    <w:rsid w:val="005C1007"/>
    <w:rsid w:val="005C110C"/>
    <w:rsid w:val="005C1B54"/>
    <w:rsid w:val="005C1D18"/>
    <w:rsid w:val="005C3CD5"/>
    <w:rsid w:val="005C437F"/>
    <w:rsid w:val="005C4D36"/>
    <w:rsid w:val="005C51CD"/>
    <w:rsid w:val="005C65AF"/>
    <w:rsid w:val="005C6729"/>
    <w:rsid w:val="005C78E7"/>
    <w:rsid w:val="005D0C51"/>
    <w:rsid w:val="005D10AB"/>
    <w:rsid w:val="005D12FB"/>
    <w:rsid w:val="005D1AD3"/>
    <w:rsid w:val="005D2F19"/>
    <w:rsid w:val="005D3ED0"/>
    <w:rsid w:val="005D6318"/>
    <w:rsid w:val="005D7C33"/>
    <w:rsid w:val="005E057A"/>
    <w:rsid w:val="005E361B"/>
    <w:rsid w:val="005E37C5"/>
    <w:rsid w:val="005E403F"/>
    <w:rsid w:val="005E4930"/>
    <w:rsid w:val="005E4C09"/>
    <w:rsid w:val="005E4D0E"/>
    <w:rsid w:val="005E63B2"/>
    <w:rsid w:val="005E6E2D"/>
    <w:rsid w:val="005E7C8F"/>
    <w:rsid w:val="005F0A19"/>
    <w:rsid w:val="005F1505"/>
    <w:rsid w:val="005F2AA0"/>
    <w:rsid w:val="005F4187"/>
    <w:rsid w:val="005F4D79"/>
    <w:rsid w:val="005F686D"/>
    <w:rsid w:val="005F6DB3"/>
    <w:rsid w:val="005F742B"/>
    <w:rsid w:val="00603A86"/>
    <w:rsid w:val="00603C7F"/>
    <w:rsid w:val="00603D49"/>
    <w:rsid w:val="006055F9"/>
    <w:rsid w:val="00605915"/>
    <w:rsid w:val="0060616E"/>
    <w:rsid w:val="00606B4D"/>
    <w:rsid w:val="00606C3D"/>
    <w:rsid w:val="00607974"/>
    <w:rsid w:val="006111E0"/>
    <w:rsid w:val="00612698"/>
    <w:rsid w:val="00612EEF"/>
    <w:rsid w:val="00616283"/>
    <w:rsid w:val="00616795"/>
    <w:rsid w:val="00617352"/>
    <w:rsid w:val="006205AF"/>
    <w:rsid w:val="00621EDB"/>
    <w:rsid w:val="0062454F"/>
    <w:rsid w:val="00626D88"/>
    <w:rsid w:val="00627BF9"/>
    <w:rsid w:val="00627C8E"/>
    <w:rsid w:val="0063039E"/>
    <w:rsid w:val="006366D0"/>
    <w:rsid w:val="00640576"/>
    <w:rsid w:val="00645CFD"/>
    <w:rsid w:val="00645FDE"/>
    <w:rsid w:val="00646CA4"/>
    <w:rsid w:val="00647569"/>
    <w:rsid w:val="00647FB1"/>
    <w:rsid w:val="00651093"/>
    <w:rsid w:val="00653ED0"/>
    <w:rsid w:val="0065509D"/>
    <w:rsid w:val="006552EA"/>
    <w:rsid w:val="006556F3"/>
    <w:rsid w:val="006566E7"/>
    <w:rsid w:val="00657746"/>
    <w:rsid w:val="00660FE2"/>
    <w:rsid w:val="00661955"/>
    <w:rsid w:val="00666D9E"/>
    <w:rsid w:val="006719B3"/>
    <w:rsid w:val="006721DE"/>
    <w:rsid w:val="006727E3"/>
    <w:rsid w:val="00672847"/>
    <w:rsid w:val="00672EBE"/>
    <w:rsid w:val="00673235"/>
    <w:rsid w:val="00674101"/>
    <w:rsid w:val="00674628"/>
    <w:rsid w:val="00675375"/>
    <w:rsid w:val="00675587"/>
    <w:rsid w:val="006774F0"/>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A76"/>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5D21"/>
    <w:rsid w:val="006B61A2"/>
    <w:rsid w:val="006B7576"/>
    <w:rsid w:val="006C155F"/>
    <w:rsid w:val="006C632F"/>
    <w:rsid w:val="006D07AF"/>
    <w:rsid w:val="006D151D"/>
    <w:rsid w:val="006D1FDA"/>
    <w:rsid w:val="006D223B"/>
    <w:rsid w:val="006D27C6"/>
    <w:rsid w:val="006D36DF"/>
    <w:rsid w:val="006D3708"/>
    <w:rsid w:val="006D4B5A"/>
    <w:rsid w:val="006D6D07"/>
    <w:rsid w:val="006D7BF7"/>
    <w:rsid w:val="006D7EF2"/>
    <w:rsid w:val="006E0A93"/>
    <w:rsid w:val="006E0E61"/>
    <w:rsid w:val="006E22BD"/>
    <w:rsid w:val="006E22C0"/>
    <w:rsid w:val="006E2940"/>
    <w:rsid w:val="006E2B68"/>
    <w:rsid w:val="006E47FF"/>
    <w:rsid w:val="006E574A"/>
    <w:rsid w:val="006E6458"/>
    <w:rsid w:val="006E6FD9"/>
    <w:rsid w:val="006F08BF"/>
    <w:rsid w:val="006F185F"/>
    <w:rsid w:val="006F3248"/>
    <w:rsid w:val="006F3551"/>
    <w:rsid w:val="006F35D0"/>
    <w:rsid w:val="006F38CB"/>
    <w:rsid w:val="006F4F29"/>
    <w:rsid w:val="006F5815"/>
    <w:rsid w:val="006F5AEE"/>
    <w:rsid w:val="007000C3"/>
    <w:rsid w:val="00701BF3"/>
    <w:rsid w:val="00703CEB"/>
    <w:rsid w:val="007047D9"/>
    <w:rsid w:val="007113B1"/>
    <w:rsid w:val="00712081"/>
    <w:rsid w:val="00712E54"/>
    <w:rsid w:val="00712F51"/>
    <w:rsid w:val="00713389"/>
    <w:rsid w:val="00717451"/>
    <w:rsid w:val="00717EFD"/>
    <w:rsid w:val="00721454"/>
    <w:rsid w:val="00722152"/>
    <w:rsid w:val="007226B8"/>
    <w:rsid w:val="007226EA"/>
    <w:rsid w:val="007235C8"/>
    <w:rsid w:val="0072411F"/>
    <w:rsid w:val="00724AC2"/>
    <w:rsid w:val="00724F0F"/>
    <w:rsid w:val="00725E6E"/>
    <w:rsid w:val="007262D2"/>
    <w:rsid w:val="007268E7"/>
    <w:rsid w:val="007270F4"/>
    <w:rsid w:val="00732FE2"/>
    <w:rsid w:val="007333BC"/>
    <w:rsid w:val="00733834"/>
    <w:rsid w:val="007339BC"/>
    <w:rsid w:val="00734483"/>
    <w:rsid w:val="00734B20"/>
    <w:rsid w:val="0073561C"/>
    <w:rsid w:val="00735744"/>
    <w:rsid w:val="007401D9"/>
    <w:rsid w:val="00740494"/>
    <w:rsid w:val="00741861"/>
    <w:rsid w:val="0074205E"/>
    <w:rsid w:val="007421B8"/>
    <w:rsid w:val="007424FB"/>
    <w:rsid w:val="00743F72"/>
    <w:rsid w:val="00745771"/>
    <w:rsid w:val="00746F47"/>
    <w:rsid w:val="0075201A"/>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66DD"/>
    <w:rsid w:val="00780319"/>
    <w:rsid w:val="007805BB"/>
    <w:rsid w:val="00781C73"/>
    <w:rsid w:val="00781FB5"/>
    <w:rsid w:val="0078374E"/>
    <w:rsid w:val="00784973"/>
    <w:rsid w:val="00784C56"/>
    <w:rsid w:val="00784E54"/>
    <w:rsid w:val="00785097"/>
    <w:rsid w:val="00785CE8"/>
    <w:rsid w:val="00787BE3"/>
    <w:rsid w:val="0079425A"/>
    <w:rsid w:val="00795BB4"/>
    <w:rsid w:val="00797093"/>
    <w:rsid w:val="007A4CC9"/>
    <w:rsid w:val="007A510C"/>
    <w:rsid w:val="007A59FF"/>
    <w:rsid w:val="007A6514"/>
    <w:rsid w:val="007A6603"/>
    <w:rsid w:val="007A6FCD"/>
    <w:rsid w:val="007A7FBF"/>
    <w:rsid w:val="007B03A4"/>
    <w:rsid w:val="007B087A"/>
    <w:rsid w:val="007B15C2"/>
    <w:rsid w:val="007B1A13"/>
    <w:rsid w:val="007C02C1"/>
    <w:rsid w:val="007C06EC"/>
    <w:rsid w:val="007C1589"/>
    <w:rsid w:val="007C2F12"/>
    <w:rsid w:val="007C36B5"/>
    <w:rsid w:val="007C49D1"/>
    <w:rsid w:val="007C65E0"/>
    <w:rsid w:val="007D0F2F"/>
    <w:rsid w:val="007D6EE1"/>
    <w:rsid w:val="007D7435"/>
    <w:rsid w:val="007E16C0"/>
    <w:rsid w:val="007E1DB1"/>
    <w:rsid w:val="007E1ECA"/>
    <w:rsid w:val="007E2E9C"/>
    <w:rsid w:val="007E55D4"/>
    <w:rsid w:val="007E6371"/>
    <w:rsid w:val="007E697E"/>
    <w:rsid w:val="007E6D1A"/>
    <w:rsid w:val="007F093F"/>
    <w:rsid w:val="007F14FA"/>
    <w:rsid w:val="007F1851"/>
    <w:rsid w:val="007F5582"/>
    <w:rsid w:val="007F5C0F"/>
    <w:rsid w:val="007F6002"/>
    <w:rsid w:val="007F656B"/>
    <w:rsid w:val="007F7030"/>
    <w:rsid w:val="007F7213"/>
    <w:rsid w:val="007F758E"/>
    <w:rsid w:val="007F7B59"/>
    <w:rsid w:val="0080248B"/>
    <w:rsid w:val="008025EF"/>
    <w:rsid w:val="0080361B"/>
    <w:rsid w:val="00803953"/>
    <w:rsid w:val="00803AE4"/>
    <w:rsid w:val="008055F7"/>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17FBA"/>
    <w:rsid w:val="00820338"/>
    <w:rsid w:val="00820F3A"/>
    <w:rsid w:val="00821457"/>
    <w:rsid w:val="00823B43"/>
    <w:rsid w:val="00824E22"/>
    <w:rsid w:val="00825759"/>
    <w:rsid w:val="00825877"/>
    <w:rsid w:val="00825946"/>
    <w:rsid w:val="00825E0B"/>
    <w:rsid w:val="00830055"/>
    <w:rsid w:val="00831692"/>
    <w:rsid w:val="00831702"/>
    <w:rsid w:val="008319EF"/>
    <w:rsid w:val="00831AA2"/>
    <w:rsid w:val="00832F5D"/>
    <w:rsid w:val="00833DD7"/>
    <w:rsid w:val="008346E5"/>
    <w:rsid w:val="00834F5B"/>
    <w:rsid w:val="008361ED"/>
    <w:rsid w:val="0083635A"/>
    <w:rsid w:val="008365C8"/>
    <w:rsid w:val="0084129B"/>
    <w:rsid w:val="0084147D"/>
    <w:rsid w:val="00844EB0"/>
    <w:rsid w:val="00845797"/>
    <w:rsid w:val="0084722B"/>
    <w:rsid w:val="008479EE"/>
    <w:rsid w:val="00850866"/>
    <w:rsid w:val="00850E2C"/>
    <w:rsid w:val="00851DA7"/>
    <w:rsid w:val="00851EEA"/>
    <w:rsid w:val="00853B40"/>
    <w:rsid w:val="00856F93"/>
    <w:rsid w:val="0086268D"/>
    <w:rsid w:val="0086321C"/>
    <w:rsid w:val="008637CF"/>
    <w:rsid w:val="00865396"/>
    <w:rsid w:val="00865513"/>
    <w:rsid w:val="008675D4"/>
    <w:rsid w:val="008701FB"/>
    <w:rsid w:val="0087063C"/>
    <w:rsid w:val="0087266C"/>
    <w:rsid w:val="008726F1"/>
    <w:rsid w:val="00872E4B"/>
    <w:rsid w:val="00873573"/>
    <w:rsid w:val="0087511F"/>
    <w:rsid w:val="00876521"/>
    <w:rsid w:val="008766C9"/>
    <w:rsid w:val="0088164D"/>
    <w:rsid w:val="00881AF6"/>
    <w:rsid w:val="00881B32"/>
    <w:rsid w:val="00882D6D"/>
    <w:rsid w:val="00883115"/>
    <w:rsid w:val="008846FC"/>
    <w:rsid w:val="00884825"/>
    <w:rsid w:val="008856A3"/>
    <w:rsid w:val="00885816"/>
    <w:rsid w:val="00886BEF"/>
    <w:rsid w:val="008874D0"/>
    <w:rsid w:val="00887FE3"/>
    <w:rsid w:val="008917D7"/>
    <w:rsid w:val="00891B9C"/>
    <w:rsid w:val="0089240E"/>
    <w:rsid w:val="00893462"/>
    <w:rsid w:val="0089406E"/>
    <w:rsid w:val="008940D8"/>
    <w:rsid w:val="00894572"/>
    <w:rsid w:val="008951D3"/>
    <w:rsid w:val="008953F1"/>
    <w:rsid w:val="00896D39"/>
    <w:rsid w:val="008978E2"/>
    <w:rsid w:val="00897911"/>
    <w:rsid w:val="008A1049"/>
    <w:rsid w:val="008A32D9"/>
    <w:rsid w:val="008A3876"/>
    <w:rsid w:val="008A590C"/>
    <w:rsid w:val="008B099A"/>
    <w:rsid w:val="008B35E6"/>
    <w:rsid w:val="008B39E8"/>
    <w:rsid w:val="008B3F0E"/>
    <w:rsid w:val="008B53F6"/>
    <w:rsid w:val="008B575F"/>
    <w:rsid w:val="008B5FCE"/>
    <w:rsid w:val="008B6B8A"/>
    <w:rsid w:val="008B7A73"/>
    <w:rsid w:val="008C0366"/>
    <w:rsid w:val="008C06A6"/>
    <w:rsid w:val="008C17DA"/>
    <w:rsid w:val="008C1A0D"/>
    <w:rsid w:val="008C2153"/>
    <w:rsid w:val="008C3B30"/>
    <w:rsid w:val="008C4BEB"/>
    <w:rsid w:val="008C4C37"/>
    <w:rsid w:val="008C61C8"/>
    <w:rsid w:val="008C7D01"/>
    <w:rsid w:val="008D0AA4"/>
    <w:rsid w:val="008D0D8D"/>
    <w:rsid w:val="008D136A"/>
    <w:rsid w:val="008D159C"/>
    <w:rsid w:val="008D3411"/>
    <w:rsid w:val="008D3755"/>
    <w:rsid w:val="008D52AF"/>
    <w:rsid w:val="008D5CBD"/>
    <w:rsid w:val="008D6EF2"/>
    <w:rsid w:val="008E057A"/>
    <w:rsid w:val="008E20B9"/>
    <w:rsid w:val="008E3F48"/>
    <w:rsid w:val="008E4C8E"/>
    <w:rsid w:val="008E6189"/>
    <w:rsid w:val="008E61A6"/>
    <w:rsid w:val="008E71FD"/>
    <w:rsid w:val="008F03DC"/>
    <w:rsid w:val="008F2AA2"/>
    <w:rsid w:val="008F30A1"/>
    <w:rsid w:val="008F490D"/>
    <w:rsid w:val="008F7CC9"/>
    <w:rsid w:val="00900AAF"/>
    <w:rsid w:val="0090154E"/>
    <w:rsid w:val="00901792"/>
    <w:rsid w:val="00901E52"/>
    <w:rsid w:val="009036E8"/>
    <w:rsid w:val="00904104"/>
    <w:rsid w:val="009045A8"/>
    <w:rsid w:val="00910794"/>
    <w:rsid w:val="009111BF"/>
    <w:rsid w:val="00911C44"/>
    <w:rsid w:val="00911EF6"/>
    <w:rsid w:val="009167AD"/>
    <w:rsid w:val="00924BDE"/>
    <w:rsid w:val="00926E66"/>
    <w:rsid w:val="00927872"/>
    <w:rsid w:val="0092797B"/>
    <w:rsid w:val="00927F0F"/>
    <w:rsid w:val="00930157"/>
    <w:rsid w:val="009315B8"/>
    <w:rsid w:val="009326F1"/>
    <w:rsid w:val="00933211"/>
    <w:rsid w:val="0093340F"/>
    <w:rsid w:val="00934452"/>
    <w:rsid w:val="00936003"/>
    <w:rsid w:val="00937791"/>
    <w:rsid w:val="00937A68"/>
    <w:rsid w:val="00940B1C"/>
    <w:rsid w:val="00942BD5"/>
    <w:rsid w:val="00944C36"/>
    <w:rsid w:val="00945B09"/>
    <w:rsid w:val="00950781"/>
    <w:rsid w:val="0095721D"/>
    <w:rsid w:val="009572D9"/>
    <w:rsid w:val="00957EA5"/>
    <w:rsid w:val="0096600E"/>
    <w:rsid w:val="009663D0"/>
    <w:rsid w:val="00970864"/>
    <w:rsid w:val="0097140F"/>
    <w:rsid w:val="0097345F"/>
    <w:rsid w:val="0097400B"/>
    <w:rsid w:val="009749BD"/>
    <w:rsid w:val="00975A52"/>
    <w:rsid w:val="00976363"/>
    <w:rsid w:val="009764F8"/>
    <w:rsid w:val="009774EC"/>
    <w:rsid w:val="00977B5A"/>
    <w:rsid w:val="009801CE"/>
    <w:rsid w:val="00980D8C"/>
    <w:rsid w:val="00981667"/>
    <w:rsid w:val="00986939"/>
    <w:rsid w:val="00987028"/>
    <w:rsid w:val="0098749A"/>
    <w:rsid w:val="00987E2A"/>
    <w:rsid w:val="00991C5A"/>
    <w:rsid w:val="00992C26"/>
    <w:rsid w:val="00994207"/>
    <w:rsid w:val="0099424F"/>
    <w:rsid w:val="00994262"/>
    <w:rsid w:val="0099493F"/>
    <w:rsid w:val="00995D52"/>
    <w:rsid w:val="00997CBB"/>
    <w:rsid w:val="00997D32"/>
    <w:rsid w:val="009A2285"/>
    <w:rsid w:val="009A26A1"/>
    <w:rsid w:val="009A2B51"/>
    <w:rsid w:val="009A2EAB"/>
    <w:rsid w:val="009A561D"/>
    <w:rsid w:val="009A63E1"/>
    <w:rsid w:val="009A66F2"/>
    <w:rsid w:val="009B0218"/>
    <w:rsid w:val="009B13C1"/>
    <w:rsid w:val="009B3F1E"/>
    <w:rsid w:val="009B47ED"/>
    <w:rsid w:val="009B49EF"/>
    <w:rsid w:val="009B4CF8"/>
    <w:rsid w:val="009B4D35"/>
    <w:rsid w:val="009B66ED"/>
    <w:rsid w:val="009B768B"/>
    <w:rsid w:val="009B789A"/>
    <w:rsid w:val="009C0420"/>
    <w:rsid w:val="009C0B86"/>
    <w:rsid w:val="009C0C57"/>
    <w:rsid w:val="009C1927"/>
    <w:rsid w:val="009C28A7"/>
    <w:rsid w:val="009C2C61"/>
    <w:rsid w:val="009C35B3"/>
    <w:rsid w:val="009C4826"/>
    <w:rsid w:val="009C4FE8"/>
    <w:rsid w:val="009C508D"/>
    <w:rsid w:val="009D04C5"/>
    <w:rsid w:val="009D0690"/>
    <w:rsid w:val="009D0946"/>
    <w:rsid w:val="009D3639"/>
    <w:rsid w:val="009D5130"/>
    <w:rsid w:val="009D5C9F"/>
    <w:rsid w:val="009D707F"/>
    <w:rsid w:val="009D7762"/>
    <w:rsid w:val="009D7E10"/>
    <w:rsid w:val="009E0847"/>
    <w:rsid w:val="009E0B01"/>
    <w:rsid w:val="009E1029"/>
    <w:rsid w:val="009E1487"/>
    <w:rsid w:val="009E17E8"/>
    <w:rsid w:val="009E1CA5"/>
    <w:rsid w:val="009E5B51"/>
    <w:rsid w:val="009E6063"/>
    <w:rsid w:val="009E7731"/>
    <w:rsid w:val="009E7E60"/>
    <w:rsid w:val="009F0DB6"/>
    <w:rsid w:val="009F1E51"/>
    <w:rsid w:val="009F36E2"/>
    <w:rsid w:val="009F3B89"/>
    <w:rsid w:val="009F3F4C"/>
    <w:rsid w:val="009F4A44"/>
    <w:rsid w:val="009F4F4D"/>
    <w:rsid w:val="009F566B"/>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1B9"/>
    <w:rsid w:val="00A24033"/>
    <w:rsid w:val="00A24507"/>
    <w:rsid w:val="00A25273"/>
    <w:rsid w:val="00A25496"/>
    <w:rsid w:val="00A30113"/>
    <w:rsid w:val="00A30137"/>
    <w:rsid w:val="00A30EF1"/>
    <w:rsid w:val="00A30F7A"/>
    <w:rsid w:val="00A32181"/>
    <w:rsid w:val="00A40F98"/>
    <w:rsid w:val="00A42AEA"/>
    <w:rsid w:val="00A43AA7"/>
    <w:rsid w:val="00A445B9"/>
    <w:rsid w:val="00A44619"/>
    <w:rsid w:val="00A44907"/>
    <w:rsid w:val="00A465CD"/>
    <w:rsid w:val="00A47B30"/>
    <w:rsid w:val="00A51E90"/>
    <w:rsid w:val="00A533F3"/>
    <w:rsid w:val="00A5380D"/>
    <w:rsid w:val="00A5402E"/>
    <w:rsid w:val="00A549B8"/>
    <w:rsid w:val="00A6132C"/>
    <w:rsid w:val="00A6154B"/>
    <w:rsid w:val="00A61E60"/>
    <w:rsid w:val="00A63E76"/>
    <w:rsid w:val="00A64166"/>
    <w:rsid w:val="00A66705"/>
    <w:rsid w:val="00A67319"/>
    <w:rsid w:val="00A673B2"/>
    <w:rsid w:val="00A67D9F"/>
    <w:rsid w:val="00A70D0F"/>
    <w:rsid w:val="00A71A89"/>
    <w:rsid w:val="00A73A2A"/>
    <w:rsid w:val="00A73D67"/>
    <w:rsid w:val="00A76D60"/>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84D"/>
    <w:rsid w:val="00AB1AA6"/>
    <w:rsid w:val="00AB4F6D"/>
    <w:rsid w:val="00AB5DEF"/>
    <w:rsid w:val="00AB638B"/>
    <w:rsid w:val="00AC1DC0"/>
    <w:rsid w:val="00AC5768"/>
    <w:rsid w:val="00AC5877"/>
    <w:rsid w:val="00AC67A3"/>
    <w:rsid w:val="00AC6F5D"/>
    <w:rsid w:val="00AC73BB"/>
    <w:rsid w:val="00AC77BA"/>
    <w:rsid w:val="00AD13A7"/>
    <w:rsid w:val="00AD2553"/>
    <w:rsid w:val="00AD31FE"/>
    <w:rsid w:val="00AD4851"/>
    <w:rsid w:val="00AD5565"/>
    <w:rsid w:val="00AD5EFF"/>
    <w:rsid w:val="00AD5FE6"/>
    <w:rsid w:val="00AD68EF"/>
    <w:rsid w:val="00AD69B2"/>
    <w:rsid w:val="00AD7E04"/>
    <w:rsid w:val="00AE19BC"/>
    <w:rsid w:val="00AE2795"/>
    <w:rsid w:val="00AE399C"/>
    <w:rsid w:val="00AE4660"/>
    <w:rsid w:val="00AE4F81"/>
    <w:rsid w:val="00AE51FC"/>
    <w:rsid w:val="00AE5762"/>
    <w:rsid w:val="00AE69E9"/>
    <w:rsid w:val="00AF00F9"/>
    <w:rsid w:val="00AF1CC4"/>
    <w:rsid w:val="00AF1E02"/>
    <w:rsid w:val="00AF457A"/>
    <w:rsid w:val="00AF482D"/>
    <w:rsid w:val="00AF51AB"/>
    <w:rsid w:val="00AF6CCA"/>
    <w:rsid w:val="00AF73E9"/>
    <w:rsid w:val="00AF7E68"/>
    <w:rsid w:val="00B012D0"/>
    <w:rsid w:val="00B015CC"/>
    <w:rsid w:val="00B02218"/>
    <w:rsid w:val="00B06DCA"/>
    <w:rsid w:val="00B07154"/>
    <w:rsid w:val="00B07C8E"/>
    <w:rsid w:val="00B07D4E"/>
    <w:rsid w:val="00B125A8"/>
    <w:rsid w:val="00B142B2"/>
    <w:rsid w:val="00B16DA7"/>
    <w:rsid w:val="00B2007F"/>
    <w:rsid w:val="00B202AE"/>
    <w:rsid w:val="00B21A61"/>
    <w:rsid w:val="00B224F0"/>
    <w:rsid w:val="00B226E1"/>
    <w:rsid w:val="00B23ED2"/>
    <w:rsid w:val="00B241DA"/>
    <w:rsid w:val="00B25262"/>
    <w:rsid w:val="00B255E5"/>
    <w:rsid w:val="00B25A3B"/>
    <w:rsid w:val="00B25D94"/>
    <w:rsid w:val="00B267B0"/>
    <w:rsid w:val="00B27BAB"/>
    <w:rsid w:val="00B3649B"/>
    <w:rsid w:val="00B36877"/>
    <w:rsid w:val="00B36DFC"/>
    <w:rsid w:val="00B42A58"/>
    <w:rsid w:val="00B44FCE"/>
    <w:rsid w:val="00B45F68"/>
    <w:rsid w:val="00B462E9"/>
    <w:rsid w:val="00B50188"/>
    <w:rsid w:val="00B50600"/>
    <w:rsid w:val="00B51D8A"/>
    <w:rsid w:val="00B53FEB"/>
    <w:rsid w:val="00B55DBE"/>
    <w:rsid w:val="00B56BF9"/>
    <w:rsid w:val="00B56DF5"/>
    <w:rsid w:val="00B57D0A"/>
    <w:rsid w:val="00B62911"/>
    <w:rsid w:val="00B63490"/>
    <w:rsid w:val="00B645A8"/>
    <w:rsid w:val="00B66BBF"/>
    <w:rsid w:val="00B6742D"/>
    <w:rsid w:val="00B724DF"/>
    <w:rsid w:val="00B726FC"/>
    <w:rsid w:val="00B7270F"/>
    <w:rsid w:val="00B75F58"/>
    <w:rsid w:val="00B76005"/>
    <w:rsid w:val="00B804B9"/>
    <w:rsid w:val="00B80FC3"/>
    <w:rsid w:val="00B815D4"/>
    <w:rsid w:val="00B83278"/>
    <w:rsid w:val="00B85CE4"/>
    <w:rsid w:val="00B86977"/>
    <w:rsid w:val="00B86E45"/>
    <w:rsid w:val="00B87538"/>
    <w:rsid w:val="00B92495"/>
    <w:rsid w:val="00B93046"/>
    <w:rsid w:val="00B930D1"/>
    <w:rsid w:val="00BA08E1"/>
    <w:rsid w:val="00BA0F5B"/>
    <w:rsid w:val="00BA1DDB"/>
    <w:rsid w:val="00BA2D7C"/>
    <w:rsid w:val="00BB0B51"/>
    <w:rsid w:val="00BB1081"/>
    <w:rsid w:val="00BB17EA"/>
    <w:rsid w:val="00BB18A5"/>
    <w:rsid w:val="00BB2F61"/>
    <w:rsid w:val="00BB6628"/>
    <w:rsid w:val="00BB6721"/>
    <w:rsid w:val="00BB6D67"/>
    <w:rsid w:val="00BC4DA7"/>
    <w:rsid w:val="00BC607D"/>
    <w:rsid w:val="00BC6CD8"/>
    <w:rsid w:val="00BD00C3"/>
    <w:rsid w:val="00BD07E7"/>
    <w:rsid w:val="00BD235E"/>
    <w:rsid w:val="00BD28A4"/>
    <w:rsid w:val="00BD28B4"/>
    <w:rsid w:val="00BD2925"/>
    <w:rsid w:val="00BD38EE"/>
    <w:rsid w:val="00BD54FE"/>
    <w:rsid w:val="00BD692D"/>
    <w:rsid w:val="00BD7C9C"/>
    <w:rsid w:val="00BE16A0"/>
    <w:rsid w:val="00BE4257"/>
    <w:rsid w:val="00BE43F5"/>
    <w:rsid w:val="00BE4A07"/>
    <w:rsid w:val="00BE5617"/>
    <w:rsid w:val="00BE6093"/>
    <w:rsid w:val="00BE60F8"/>
    <w:rsid w:val="00BF230C"/>
    <w:rsid w:val="00BF42E7"/>
    <w:rsid w:val="00BF509D"/>
    <w:rsid w:val="00BF7255"/>
    <w:rsid w:val="00C0000E"/>
    <w:rsid w:val="00C006B5"/>
    <w:rsid w:val="00C023C6"/>
    <w:rsid w:val="00C03569"/>
    <w:rsid w:val="00C055F9"/>
    <w:rsid w:val="00C05A94"/>
    <w:rsid w:val="00C0731E"/>
    <w:rsid w:val="00C127DC"/>
    <w:rsid w:val="00C13219"/>
    <w:rsid w:val="00C1340E"/>
    <w:rsid w:val="00C1350C"/>
    <w:rsid w:val="00C13A74"/>
    <w:rsid w:val="00C13FB0"/>
    <w:rsid w:val="00C14BBD"/>
    <w:rsid w:val="00C20453"/>
    <w:rsid w:val="00C210D7"/>
    <w:rsid w:val="00C221F8"/>
    <w:rsid w:val="00C2264B"/>
    <w:rsid w:val="00C2375C"/>
    <w:rsid w:val="00C2428D"/>
    <w:rsid w:val="00C26546"/>
    <w:rsid w:val="00C3019E"/>
    <w:rsid w:val="00C31A87"/>
    <w:rsid w:val="00C320AE"/>
    <w:rsid w:val="00C36885"/>
    <w:rsid w:val="00C376EA"/>
    <w:rsid w:val="00C37E9E"/>
    <w:rsid w:val="00C40B5B"/>
    <w:rsid w:val="00C41622"/>
    <w:rsid w:val="00C41E96"/>
    <w:rsid w:val="00C43716"/>
    <w:rsid w:val="00C44BD1"/>
    <w:rsid w:val="00C45577"/>
    <w:rsid w:val="00C45A68"/>
    <w:rsid w:val="00C4646C"/>
    <w:rsid w:val="00C46754"/>
    <w:rsid w:val="00C46FD8"/>
    <w:rsid w:val="00C50C41"/>
    <w:rsid w:val="00C50E53"/>
    <w:rsid w:val="00C526FF"/>
    <w:rsid w:val="00C55811"/>
    <w:rsid w:val="00C56AB3"/>
    <w:rsid w:val="00C60A2C"/>
    <w:rsid w:val="00C60F5E"/>
    <w:rsid w:val="00C625EA"/>
    <w:rsid w:val="00C673F9"/>
    <w:rsid w:val="00C728F0"/>
    <w:rsid w:val="00C73131"/>
    <w:rsid w:val="00C734AD"/>
    <w:rsid w:val="00C75A82"/>
    <w:rsid w:val="00C75B26"/>
    <w:rsid w:val="00C75E5A"/>
    <w:rsid w:val="00C76DE5"/>
    <w:rsid w:val="00C76FCF"/>
    <w:rsid w:val="00C813CD"/>
    <w:rsid w:val="00C81706"/>
    <w:rsid w:val="00C81EF3"/>
    <w:rsid w:val="00C837B2"/>
    <w:rsid w:val="00C84D23"/>
    <w:rsid w:val="00C85CFF"/>
    <w:rsid w:val="00C86523"/>
    <w:rsid w:val="00C90500"/>
    <w:rsid w:val="00C905F1"/>
    <w:rsid w:val="00C90FAD"/>
    <w:rsid w:val="00C916D9"/>
    <w:rsid w:val="00C91CFE"/>
    <w:rsid w:val="00C921ED"/>
    <w:rsid w:val="00C9258D"/>
    <w:rsid w:val="00C92D91"/>
    <w:rsid w:val="00C945B3"/>
    <w:rsid w:val="00C9551F"/>
    <w:rsid w:val="00C961DD"/>
    <w:rsid w:val="00C96E3C"/>
    <w:rsid w:val="00CA0A06"/>
    <w:rsid w:val="00CA10B8"/>
    <w:rsid w:val="00CA1155"/>
    <w:rsid w:val="00CA3005"/>
    <w:rsid w:val="00CA3E87"/>
    <w:rsid w:val="00CA646D"/>
    <w:rsid w:val="00CA6D64"/>
    <w:rsid w:val="00CB098A"/>
    <w:rsid w:val="00CB0C30"/>
    <w:rsid w:val="00CB0EAA"/>
    <w:rsid w:val="00CB1306"/>
    <w:rsid w:val="00CB2DE1"/>
    <w:rsid w:val="00CB50DF"/>
    <w:rsid w:val="00CB6545"/>
    <w:rsid w:val="00CB79F5"/>
    <w:rsid w:val="00CC223C"/>
    <w:rsid w:val="00CC2755"/>
    <w:rsid w:val="00CC51DA"/>
    <w:rsid w:val="00CC5DFD"/>
    <w:rsid w:val="00CC6A75"/>
    <w:rsid w:val="00CC6B19"/>
    <w:rsid w:val="00CC7B53"/>
    <w:rsid w:val="00CD39BE"/>
    <w:rsid w:val="00CD3EBE"/>
    <w:rsid w:val="00CD43B3"/>
    <w:rsid w:val="00CD4993"/>
    <w:rsid w:val="00CD5F25"/>
    <w:rsid w:val="00CD6D04"/>
    <w:rsid w:val="00CD7BC0"/>
    <w:rsid w:val="00CE030B"/>
    <w:rsid w:val="00CE1148"/>
    <w:rsid w:val="00CE1874"/>
    <w:rsid w:val="00CE1F33"/>
    <w:rsid w:val="00CE355C"/>
    <w:rsid w:val="00CE4137"/>
    <w:rsid w:val="00CE437F"/>
    <w:rsid w:val="00CE5788"/>
    <w:rsid w:val="00CF2609"/>
    <w:rsid w:val="00CF45E9"/>
    <w:rsid w:val="00CF563C"/>
    <w:rsid w:val="00CF7241"/>
    <w:rsid w:val="00D00D7E"/>
    <w:rsid w:val="00D01AD3"/>
    <w:rsid w:val="00D057AF"/>
    <w:rsid w:val="00D112F1"/>
    <w:rsid w:val="00D12979"/>
    <w:rsid w:val="00D145C3"/>
    <w:rsid w:val="00D15BA1"/>
    <w:rsid w:val="00D16041"/>
    <w:rsid w:val="00D16B3D"/>
    <w:rsid w:val="00D20BE6"/>
    <w:rsid w:val="00D21BB0"/>
    <w:rsid w:val="00D225E7"/>
    <w:rsid w:val="00D23B40"/>
    <w:rsid w:val="00D23CC6"/>
    <w:rsid w:val="00D242DC"/>
    <w:rsid w:val="00D26C6F"/>
    <w:rsid w:val="00D27239"/>
    <w:rsid w:val="00D27B94"/>
    <w:rsid w:val="00D303D3"/>
    <w:rsid w:val="00D305C9"/>
    <w:rsid w:val="00D30F4B"/>
    <w:rsid w:val="00D30FFE"/>
    <w:rsid w:val="00D33920"/>
    <w:rsid w:val="00D34351"/>
    <w:rsid w:val="00D42A9B"/>
    <w:rsid w:val="00D447D2"/>
    <w:rsid w:val="00D4567F"/>
    <w:rsid w:val="00D47CF9"/>
    <w:rsid w:val="00D47E53"/>
    <w:rsid w:val="00D5239B"/>
    <w:rsid w:val="00D524D4"/>
    <w:rsid w:val="00D54098"/>
    <w:rsid w:val="00D5673C"/>
    <w:rsid w:val="00D57D31"/>
    <w:rsid w:val="00D608AD"/>
    <w:rsid w:val="00D62874"/>
    <w:rsid w:val="00D629C0"/>
    <w:rsid w:val="00D63181"/>
    <w:rsid w:val="00D6336E"/>
    <w:rsid w:val="00D640F7"/>
    <w:rsid w:val="00D64ACA"/>
    <w:rsid w:val="00D65E11"/>
    <w:rsid w:val="00D67F4F"/>
    <w:rsid w:val="00D701E0"/>
    <w:rsid w:val="00D70475"/>
    <w:rsid w:val="00D70702"/>
    <w:rsid w:val="00D7091A"/>
    <w:rsid w:val="00D72022"/>
    <w:rsid w:val="00D7394E"/>
    <w:rsid w:val="00D73B1D"/>
    <w:rsid w:val="00D7420E"/>
    <w:rsid w:val="00D75560"/>
    <w:rsid w:val="00D76B47"/>
    <w:rsid w:val="00D76CDF"/>
    <w:rsid w:val="00D76E80"/>
    <w:rsid w:val="00D80D13"/>
    <w:rsid w:val="00D81681"/>
    <w:rsid w:val="00D8354F"/>
    <w:rsid w:val="00D84021"/>
    <w:rsid w:val="00D848CA"/>
    <w:rsid w:val="00D8534B"/>
    <w:rsid w:val="00D85B1F"/>
    <w:rsid w:val="00D85B39"/>
    <w:rsid w:val="00D85D43"/>
    <w:rsid w:val="00D87DE2"/>
    <w:rsid w:val="00D90EE2"/>
    <w:rsid w:val="00D9429B"/>
    <w:rsid w:val="00D972B7"/>
    <w:rsid w:val="00DA0F48"/>
    <w:rsid w:val="00DA172D"/>
    <w:rsid w:val="00DA1C65"/>
    <w:rsid w:val="00DA40CA"/>
    <w:rsid w:val="00DA4E09"/>
    <w:rsid w:val="00DA6731"/>
    <w:rsid w:val="00DA770F"/>
    <w:rsid w:val="00DB0F35"/>
    <w:rsid w:val="00DB3628"/>
    <w:rsid w:val="00DB53A9"/>
    <w:rsid w:val="00DB73D2"/>
    <w:rsid w:val="00DB77A0"/>
    <w:rsid w:val="00DB7B75"/>
    <w:rsid w:val="00DC138E"/>
    <w:rsid w:val="00DC1ED1"/>
    <w:rsid w:val="00DC430A"/>
    <w:rsid w:val="00DC4B33"/>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8DE"/>
    <w:rsid w:val="00E03D6F"/>
    <w:rsid w:val="00E047AB"/>
    <w:rsid w:val="00E05670"/>
    <w:rsid w:val="00E05D76"/>
    <w:rsid w:val="00E06BB1"/>
    <w:rsid w:val="00E06C0F"/>
    <w:rsid w:val="00E070CD"/>
    <w:rsid w:val="00E07C8C"/>
    <w:rsid w:val="00E10646"/>
    <w:rsid w:val="00E12A91"/>
    <w:rsid w:val="00E13348"/>
    <w:rsid w:val="00E13615"/>
    <w:rsid w:val="00E1480A"/>
    <w:rsid w:val="00E15DA1"/>
    <w:rsid w:val="00E16A1B"/>
    <w:rsid w:val="00E16A28"/>
    <w:rsid w:val="00E16F1D"/>
    <w:rsid w:val="00E17B97"/>
    <w:rsid w:val="00E17DD7"/>
    <w:rsid w:val="00E200BD"/>
    <w:rsid w:val="00E20835"/>
    <w:rsid w:val="00E20A18"/>
    <w:rsid w:val="00E23235"/>
    <w:rsid w:val="00E23A1F"/>
    <w:rsid w:val="00E2443D"/>
    <w:rsid w:val="00E26D58"/>
    <w:rsid w:val="00E27762"/>
    <w:rsid w:val="00E27F0F"/>
    <w:rsid w:val="00E30116"/>
    <w:rsid w:val="00E31976"/>
    <w:rsid w:val="00E327E1"/>
    <w:rsid w:val="00E33171"/>
    <w:rsid w:val="00E35231"/>
    <w:rsid w:val="00E35EAC"/>
    <w:rsid w:val="00E36EDB"/>
    <w:rsid w:val="00E36FD3"/>
    <w:rsid w:val="00E37EC5"/>
    <w:rsid w:val="00E41F93"/>
    <w:rsid w:val="00E44394"/>
    <w:rsid w:val="00E4729C"/>
    <w:rsid w:val="00E500EB"/>
    <w:rsid w:val="00E505FB"/>
    <w:rsid w:val="00E50857"/>
    <w:rsid w:val="00E511D6"/>
    <w:rsid w:val="00E5137D"/>
    <w:rsid w:val="00E521EC"/>
    <w:rsid w:val="00E52DB9"/>
    <w:rsid w:val="00E53F71"/>
    <w:rsid w:val="00E541F9"/>
    <w:rsid w:val="00E54208"/>
    <w:rsid w:val="00E60A24"/>
    <w:rsid w:val="00E60FA8"/>
    <w:rsid w:val="00E625D7"/>
    <w:rsid w:val="00E646A4"/>
    <w:rsid w:val="00E646BB"/>
    <w:rsid w:val="00E64D10"/>
    <w:rsid w:val="00E6706B"/>
    <w:rsid w:val="00E67FC2"/>
    <w:rsid w:val="00E7030E"/>
    <w:rsid w:val="00E72180"/>
    <w:rsid w:val="00E749ED"/>
    <w:rsid w:val="00E74C85"/>
    <w:rsid w:val="00E75490"/>
    <w:rsid w:val="00E75855"/>
    <w:rsid w:val="00E7633D"/>
    <w:rsid w:val="00E76345"/>
    <w:rsid w:val="00E764CC"/>
    <w:rsid w:val="00E77C72"/>
    <w:rsid w:val="00E81C89"/>
    <w:rsid w:val="00E825C6"/>
    <w:rsid w:val="00E83A34"/>
    <w:rsid w:val="00E850EE"/>
    <w:rsid w:val="00E85282"/>
    <w:rsid w:val="00E85EAC"/>
    <w:rsid w:val="00E90CFE"/>
    <w:rsid w:val="00E922BC"/>
    <w:rsid w:val="00E92346"/>
    <w:rsid w:val="00E9334E"/>
    <w:rsid w:val="00E9416A"/>
    <w:rsid w:val="00E94F82"/>
    <w:rsid w:val="00E950C9"/>
    <w:rsid w:val="00E9577F"/>
    <w:rsid w:val="00E95824"/>
    <w:rsid w:val="00E95DB7"/>
    <w:rsid w:val="00E96458"/>
    <w:rsid w:val="00E96693"/>
    <w:rsid w:val="00E96B6B"/>
    <w:rsid w:val="00E97353"/>
    <w:rsid w:val="00E978ED"/>
    <w:rsid w:val="00EA2943"/>
    <w:rsid w:val="00EA3340"/>
    <w:rsid w:val="00EA506C"/>
    <w:rsid w:val="00EA6455"/>
    <w:rsid w:val="00EA746F"/>
    <w:rsid w:val="00EA75C1"/>
    <w:rsid w:val="00EA7614"/>
    <w:rsid w:val="00EA76B7"/>
    <w:rsid w:val="00EA7E68"/>
    <w:rsid w:val="00EB03C7"/>
    <w:rsid w:val="00EB2730"/>
    <w:rsid w:val="00EB2B9B"/>
    <w:rsid w:val="00EB38E6"/>
    <w:rsid w:val="00EB473C"/>
    <w:rsid w:val="00EB4B9B"/>
    <w:rsid w:val="00EB4FC3"/>
    <w:rsid w:val="00EB5DB3"/>
    <w:rsid w:val="00EB673A"/>
    <w:rsid w:val="00EB7EDC"/>
    <w:rsid w:val="00EC167B"/>
    <w:rsid w:val="00EC2005"/>
    <w:rsid w:val="00EC320F"/>
    <w:rsid w:val="00EC3CA8"/>
    <w:rsid w:val="00EC4826"/>
    <w:rsid w:val="00EC4F48"/>
    <w:rsid w:val="00EC5260"/>
    <w:rsid w:val="00EC5791"/>
    <w:rsid w:val="00ED0A8D"/>
    <w:rsid w:val="00ED1327"/>
    <w:rsid w:val="00ED2129"/>
    <w:rsid w:val="00ED23F7"/>
    <w:rsid w:val="00ED2934"/>
    <w:rsid w:val="00ED3715"/>
    <w:rsid w:val="00ED668C"/>
    <w:rsid w:val="00EE0C2B"/>
    <w:rsid w:val="00EE0C5F"/>
    <w:rsid w:val="00EE12CE"/>
    <w:rsid w:val="00EE3947"/>
    <w:rsid w:val="00EE4D62"/>
    <w:rsid w:val="00EF0D0C"/>
    <w:rsid w:val="00EF36E2"/>
    <w:rsid w:val="00EF36E3"/>
    <w:rsid w:val="00EF62F5"/>
    <w:rsid w:val="00EF712C"/>
    <w:rsid w:val="00F00AB2"/>
    <w:rsid w:val="00F01237"/>
    <w:rsid w:val="00F0164D"/>
    <w:rsid w:val="00F025DE"/>
    <w:rsid w:val="00F02813"/>
    <w:rsid w:val="00F03196"/>
    <w:rsid w:val="00F034CA"/>
    <w:rsid w:val="00F03C66"/>
    <w:rsid w:val="00F05BE8"/>
    <w:rsid w:val="00F0645F"/>
    <w:rsid w:val="00F06FD5"/>
    <w:rsid w:val="00F0719F"/>
    <w:rsid w:val="00F0758D"/>
    <w:rsid w:val="00F10242"/>
    <w:rsid w:val="00F11EDC"/>
    <w:rsid w:val="00F12AAA"/>
    <w:rsid w:val="00F12F42"/>
    <w:rsid w:val="00F14DD5"/>
    <w:rsid w:val="00F16550"/>
    <w:rsid w:val="00F17A33"/>
    <w:rsid w:val="00F20398"/>
    <w:rsid w:val="00F21A8A"/>
    <w:rsid w:val="00F27242"/>
    <w:rsid w:val="00F27A88"/>
    <w:rsid w:val="00F31028"/>
    <w:rsid w:val="00F31F0C"/>
    <w:rsid w:val="00F327C3"/>
    <w:rsid w:val="00F3340B"/>
    <w:rsid w:val="00F34C09"/>
    <w:rsid w:val="00F34DC0"/>
    <w:rsid w:val="00F37548"/>
    <w:rsid w:val="00F3779A"/>
    <w:rsid w:val="00F421E6"/>
    <w:rsid w:val="00F4241C"/>
    <w:rsid w:val="00F42829"/>
    <w:rsid w:val="00F429E6"/>
    <w:rsid w:val="00F5028B"/>
    <w:rsid w:val="00F50673"/>
    <w:rsid w:val="00F51C55"/>
    <w:rsid w:val="00F526AF"/>
    <w:rsid w:val="00F52A7B"/>
    <w:rsid w:val="00F52DB4"/>
    <w:rsid w:val="00F618C6"/>
    <w:rsid w:val="00F62819"/>
    <w:rsid w:val="00F62EF1"/>
    <w:rsid w:val="00F64C08"/>
    <w:rsid w:val="00F669AC"/>
    <w:rsid w:val="00F670D2"/>
    <w:rsid w:val="00F713C4"/>
    <w:rsid w:val="00F758A0"/>
    <w:rsid w:val="00F76A72"/>
    <w:rsid w:val="00F77CA8"/>
    <w:rsid w:val="00F77EED"/>
    <w:rsid w:val="00F8023E"/>
    <w:rsid w:val="00F81E98"/>
    <w:rsid w:val="00F8291D"/>
    <w:rsid w:val="00F852C2"/>
    <w:rsid w:val="00F855B3"/>
    <w:rsid w:val="00F85611"/>
    <w:rsid w:val="00F87807"/>
    <w:rsid w:val="00F900AE"/>
    <w:rsid w:val="00F90496"/>
    <w:rsid w:val="00F91764"/>
    <w:rsid w:val="00F9251B"/>
    <w:rsid w:val="00F95BEC"/>
    <w:rsid w:val="00F95D8C"/>
    <w:rsid w:val="00F96514"/>
    <w:rsid w:val="00F96C32"/>
    <w:rsid w:val="00FA1A5C"/>
    <w:rsid w:val="00FA2E62"/>
    <w:rsid w:val="00FA506B"/>
    <w:rsid w:val="00FA6A25"/>
    <w:rsid w:val="00FA6D63"/>
    <w:rsid w:val="00FB1776"/>
    <w:rsid w:val="00FB3504"/>
    <w:rsid w:val="00FB3B57"/>
    <w:rsid w:val="00FB4E97"/>
    <w:rsid w:val="00FB587D"/>
    <w:rsid w:val="00FB75A8"/>
    <w:rsid w:val="00FC1F98"/>
    <w:rsid w:val="00FC3D4A"/>
    <w:rsid w:val="00FC7143"/>
    <w:rsid w:val="00FC72C1"/>
    <w:rsid w:val="00FC7A63"/>
    <w:rsid w:val="00FC7C8F"/>
    <w:rsid w:val="00FD0337"/>
    <w:rsid w:val="00FD5ED9"/>
    <w:rsid w:val="00FD6AE8"/>
    <w:rsid w:val="00FD6F50"/>
    <w:rsid w:val="00FD7D62"/>
    <w:rsid w:val="00FE0FB0"/>
    <w:rsid w:val="00FE13BD"/>
    <w:rsid w:val="00FE3F6A"/>
    <w:rsid w:val="00FE5D4A"/>
    <w:rsid w:val="00FF0950"/>
    <w:rsid w:val="00FF3527"/>
    <w:rsid w:val="00FF39DE"/>
    <w:rsid w:val="00FF4731"/>
    <w:rsid w:val="00FF4B49"/>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eastAsia="en-GB"/>
    </w:rPr>
  </w:style>
  <w:style w:type="paragraph" w:customStyle="1" w:styleId="yiv1402040874msonormal">
    <w:name w:val="yiv1402040874msonormal"/>
    <w:basedOn w:val="Normal"/>
    <w:rsid w:val="001642C0"/>
    <w:pPr>
      <w:spacing w:before="100" w:beforeAutospacing="1" w:after="100" w:afterAutospacing="1"/>
    </w:pPr>
    <w:rPr>
      <w:lang w:eastAsia="en-GB"/>
    </w:rPr>
  </w:style>
  <w:style w:type="character" w:customStyle="1" w:styleId="apple-converted-space">
    <w:name w:val="apple-converted-space"/>
    <w:basedOn w:val="DefaultParagraphFont"/>
    <w:rsid w:val="005D7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eastAsia="en-GB"/>
    </w:rPr>
  </w:style>
  <w:style w:type="paragraph" w:customStyle="1" w:styleId="yiv1402040874msonormal">
    <w:name w:val="yiv1402040874msonormal"/>
    <w:basedOn w:val="Normal"/>
    <w:rsid w:val="001642C0"/>
    <w:pPr>
      <w:spacing w:before="100" w:beforeAutospacing="1" w:after="100" w:afterAutospacing="1"/>
    </w:pPr>
    <w:rPr>
      <w:lang w:eastAsia="en-GB"/>
    </w:rPr>
  </w:style>
  <w:style w:type="character" w:customStyle="1" w:styleId="apple-converted-space">
    <w:name w:val="apple-converted-space"/>
    <w:basedOn w:val="DefaultParagraphFont"/>
    <w:rsid w:val="005D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447">
      <w:bodyDiv w:val="1"/>
      <w:marLeft w:val="0"/>
      <w:marRight w:val="0"/>
      <w:marTop w:val="0"/>
      <w:marBottom w:val="0"/>
      <w:divBdr>
        <w:top w:val="none" w:sz="0" w:space="0" w:color="auto"/>
        <w:left w:val="none" w:sz="0" w:space="0" w:color="auto"/>
        <w:bottom w:val="none" w:sz="0" w:space="0" w:color="auto"/>
        <w:right w:val="none" w:sz="0" w:space="0" w:color="auto"/>
      </w:divBdr>
    </w:div>
    <w:div w:id="129984245">
      <w:bodyDiv w:val="1"/>
      <w:marLeft w:val="0"/>
      <w:marRight w:val="0"/>
      <w:marTop w:val="0"/>
      <w:marBottom w:val="0"/>
      <w:divBdr>
        <w:top w:val="none" w:sz="0" w:space="0" w:color="auto"/>
        <w:left w:val="none" w:sz="0" w:space="0" w:color="auto"/>
        <w:bottom w:val="none" w:sz="0" w:space="0" w:color="auto"/>
        <w:right w:val="none" w:sz="0" w:space="0" w:color="auto"/>
      </w:divBdr>
    </w:div>
    <w:div w:id="141234624">
      <w:bodyDiv w:val="1"/>
      <w:marLeft w:val="0"/>
      <w:marRight w:val="0"/>
      <w:marTop w:val="0"/>
      <w:marBottom w:val="0"/>
      <w:divBdr>
        <w:top w:val="none" w:sz="0" w:space="0" w:color="auto"/>
        <w:left w:val="none" w:sz="0" w:space="0" w:color="auto"/>
        <w:bottom w:val="none" w:sz="0" w:space="0" w:color="auto"/>
        <w:right w:val="none" w:sz="0" w:space="0" w:color="auto"/>
      </w:divBdr>
    </w:div>
    <w:div w:id="337658157">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6792">
      <w:bodyDiv w:val="1"/>
      <w:marLeft w:val="0"/>
      <w:marRight w:val="0"/>
      <w:marTop w:val="0"/>
      <w:marBottom w:val="0"/>
      <w:divBdr>
        <w:top w:val="none" w:sz="0" w:space="0" w:color="auto"/>
        <w:left w:val="none" w:sz="0" w:space="0" w:color="auto"/>
        <w:bottom w:val="none" w:sz="0" w:space="0" w:color="auto"/>
        <w:right w:val="none" w:sz="0" w:space="0" w:color="auto"/>
      </w:divBdr>
    </w:div>
    <w:div w:id="1151409171">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TOMIĆ, Radmila</Reference>
    <Case_x0020_Year xmlns="63130c8a-8d1f-4e28-8ee3-43603ca9ef3b">2009</Case_x0020_Year>
    <Case_x0020_Status xmlns="16f2acb5-7363-4076-9084-069fc3bb4325">CASE CLOSED</Case_x0020_Status>
    <Date_x0020_of_x0020_Adoption xmlns="16f2acb5-7363-4076-9084-069fc3bb4325">2014-09-24T22:00:00+00:00</Date_x0020_of_x0020_Adoption>
    <Case_x0020_Number xmlns="16f2acb5-7363-4076-9084-069fc3bb4325">160/09</Case_x0020_Number>
    <Type_x0020_of_x0020_Document xmlns="16f2acb5-7363-4076-9084-069fc3bb4325">Opinion</Type_x0020_of_x0020_Document>
    <_dlc_DocId xmlns="b9fab99d-1571-47f6-8995-3a195ef041f8">M5JDUUKXSQ5W-25-1044</_dlc_DocId>
    <_dlc_DocIdUrl xmlns="b9fab99d-1571-47f6-8995-3a195ef041f8">
      <Url>http://www.unmikonline.org/hrap/Eng/_layouts/DocIdRedir.aspx?ID=M5JDUUKXSQ5W-25-1044</Url>
      <Description>M5JDUUKXSQ5W-25-1044</Description>
    </_dlc_DocIdUrl>
  </documentManagement>
</p:properties>
</file>

<file path=customXml/itemProps1.xml><?xml version="1.0" encoding="utf-8"?>
<ds:datastoreItem xmlns:ds="http://schemas.openxmlformats.org/officeDocument/2006/customXml" ds:itemID="{A99007D6-C504-43DC-9A76-04173AD14BD7}"/>
</file>

<file path=customXml/itemProps2.xml><?xml version="1.0" encoding="utf-8"?>
<ds:datastoreItem xmlns:ds="http://schemas.openxmlformats.org/officeDocument/2006/customXml" ds:itemID="{A6610ECB-4E87-477E-9E96-98FEC9B65C07}"/>
</file>

<file path=customXml/itemProps3.xml><?xml version="1.0" encoding="utf-8"?>
<ds:datastoreItem xmlns:ds="http://schemas.openxmlformats.org/officeDocument/2006/customXml" ds:itemID="{E4FCBFD0-2568-4EDD-8157-2879C2F5DDC7}"/>
</file>

<file path=customXml/itemProps4.xml><?xml version="1.0" encoding="utf-8"?>
<ds:datastoreItem xmlns:ds="http://schemas.openxmlformats.org/officeDocument/2006/customXml" ds:itemID="{0E15450E-4264-40CC-9394-2238C294C90D}"/>
</file>

<file path=customXml/itemProps5.xml><?xml version="1.0" encoding="utf-8"?>
<ds:datastoreItem xmlns:ds="http://schemas.openxmlformats.org/officeDocument/2006/customXml" ds:itemID="{BAD93D00-688A-4D08-9B73-C1A00743A8C8}"/>
</file>

<file path=docProps/app.xml><?xml version="1.0" encoding="utf-8"?>
<Properties xmlns="http://schemas.openxmlformats.org/officeDocument/2006/extended-properties" xmlns:vt="http://schemas.openxmlformats.org/officeDocument/2006/docPropsVTypes">
  <Template>Normal</Template>
  <TotalTime>0</TotalTime>
  <Pages>27</Pages>
  <Words>11665</Words>
  <Characters>66493</Characters>
  <Application>Microsoft Office Word</Application>
  <DocSecurity>0</DocSecurity>
  <Lines>554</Lines>
  <Paragraphs>156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78002</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2014-09-25T13:59:00Z</cp:lastPrinted>
  <dcterms:created xsi:type="dcterms:W3CDTF">2014-12-17T15:41:00Z</dcterms:created>
  <dcterms:modified xsi:type="dcterms:W3CDTF">2014-12-17T15:41:00Z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82166062-095b-4fd7-bb22-62de3a4ba4e1</vt:lpwstr>
  </property>
</Properties>
</file>